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color w:val="000000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“一带一路”：双向奔赴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重大主题报道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系列报道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2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杨涛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龙宣辰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郑友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蒋炀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别致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贺兴梅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陈骅</w:t>
            </w:r>
          </w:p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集体（</w:t>
            </w:r>
            <w:r>
              <w:rPr>
                <w:rFonts w:ascii="仿宋" w:hAnsi="仿宋" w:eastAsia="仿宋"/>
                <w:sz w:val="24"/>
                <w:szCs w:val="24"/>
              </w:rPr>
              <w:t>张倵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唐春林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王志勇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董莎莎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赵廷虎）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left"/>
              <w:rPr>
                <w:rFonts w:ascii="Calibri" w:hAnsi="Calibri" w:eastAsia="仿宋" w:cs="Calibri"/>
                <w:sz w:val="21"/>
                <w:szCs w:val="21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中共重庆市委当代党员杂志社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Calibri" w:hAnsi="Calibri" w:eastAsia="仿宋" w:cs="Calibri"/>
                <w:sz w:val="24"/>
                <w:szCs w:val="24"/>
              </w:rPr>
              <w:t>中共重庆市委当代党员杂志社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《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当代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党员》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2023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年第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pacing w:line="260" w:lineRule="exact"/>
              <w:jc w:val="left"/>
              <w:rPr>
                <w:rFonts w:ascii="仿宋_GB2312" w:hAnsi="仿宋" w:eastAsia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https://m.12371.gov.cn/app/template/displayTemplate/news/specDetail/5995/449008.html?isShare=true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jc w:val="left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7237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" w:hAnsi="仿宋" w:eastAsia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2013年，习近平总书记提出共建“一带一路”倡议。重庆地处“一带一路”和长江经济带的联结点，在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“一带一路”倡议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提出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周年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之际，《</w:t>
            </w:r>
            <w:r>
              <w:rPr>
                <w:rFonts w:hint="eastAsia" w:ascii="Calibri" w:hAnsi="Calibri" w:eastAsia="仿宋" w:cs="Calibri"/>
                <w:sz w:val="21"/>
                <w:szCs w:val="21"/>
              </w:rPr>
              <w:t>当代党员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Calibri" w:hAnsi="Calibri" w:eastAsia="仿宋" w:cs="Calibri"/>
                <w:sz w:val="21"/>
                <w:szCs w:val="21"/>
                <w:lang w:val="en-US" w:eastAsia="zh-CN"/>
              </w:rPr>
              <w:t>全媒体推出系列报道《“一带一路”：双向奔赴》。该组报道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立足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“双向奔赴”主题，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从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拓展通道带动开放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搭建平台助力发展、经贸合作谱写新篇、国际交往走深走实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4个方面入手，展现了重庆在中欧班列、中新（重庆）战略性互联互通示范项目、西部陆海新通道建设及文化交流方面取得的丰硕成果。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本组报道包括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篇作品。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采编过程中，多路记者前往相关单位、企业深入调研，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记录下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“一带一路”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合作伙伴携手同行的系列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故事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同时，记者邀请到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中央党校（国家行政学院）、中国社会科学院、中国人民大学相关领域专家，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讲述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“一带一路”倡议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丰硕成果，剖析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未来发展机遇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在重庆市人民政府外事办公室支持下组约和汇编了多位海外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人士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的观察和思考，让作品更具国际视野。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1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仿宋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该组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报道刊载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于中共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重庆市委机关刊物《当代党员》，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同时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在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中共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重庆市委党建门户七一客户端、七一网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等平台发布，部分内容还被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重庆市人民政府外事办公室《重庆与世界》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杂志、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人民网、学习强国等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平台转载，全网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浏览量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超过</w:t>
            </w:r>
            <w:r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</w:rPr>
              <w:t>200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报道发布后引发社会各界强烈关注，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渝新欧（重庆）物流有限公司、重庆果园港国际物流枢纽建设发展有限公司、中国人民大学国家发展与战略研究院等单位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纷纷表示，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报道在“一带一路”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建设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者中引发强烈反响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不少读者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称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，从报道中看到“一带一路”创造出许多就业机会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提高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了共建国家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城市化水平，改善了居民生活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质量，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也看到中国以企业为平台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，在当地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培养了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大量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技术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、管理</w:t>
            </w:r>
            <w:r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  <w:t>人才，为提升东道国自身的包容性发展能力作出了实际贡献。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仿宋" w:hAnsi="仿宋" w:eastAsia="仿宋"/>
                <w:color w:val="0000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61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 w:firstLineChars="200"/>
              <w:textAlignment w:val="auto"/>
              <w:rPr>
                <w:rFonts w:hint="default" w:ascii="仿宋" w:hAnsi="仿宋" w:eastAsia="仿宋"/>
                <w:color w:val="00000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"/>
                <w:sz w:val="21"/>
                <w:szCs w:val="21"/>
                <w:lang w:val="en-US" w:eastAsia="zh-CN"/>
              </w:rPr>
              <w:t>该组报道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展现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了重庆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全面融入共建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“一带一路”</w:t>
            </w:r>
            <w:r>
              <w:rPr>
                <w:rFonts w:hint="eastAsia" w:ascii="仿宋" w:hAnsi="仿宋" w:eastAsia="仿宋"/>
                <w:color w:val="000000"/>
                <w:sz w:val="21"/>
                <w:szCs w:val="21"/>
                <w:lang w:val="en-US" w:eastAsia="zh-CN"/>
              </w:rPr>
              <w:t>的生动故事，</w:t>
            </w:r>
            <w:r>
              <w:rPr>
                <w:rFonts w:hint="eastAsia" w:ascii="仿宋" w:hAnsi="仿宋" w:eastAsia="仿宋"/>
                <w:color w:val="000000"/>
                <w:spacing w:val="-2"/>
                <w:sz w:val="21"/>
                <w:szCs w:val="21"/>
                <w:lang w:val="en-US" w:eastAsia="zh-CN"/>
              </w:rPr>
              <w:t>以小切口呈现大主题，小故事折射大时代，主题鲜明、结构清晰、行文流畅、引人思考，充分彰显了共建“一带一路”倡议的时代价值、现实意义，同意推荐。</w:t>
            </w:r>
          </w:p>
          <w:p>
            <w:pPr>
              <w:spacing w:line="360" w:lineRule="exact"/>
              <w:ind w:firstLine="472" w:firstLineChars="200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                         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spacing w:line="360" w:lineRule="exact"/>
              <w:ind w:firstLine="460"/>
              <w:rPr>
                <w:rFonts w:hint="eastAsia" w:ascii="仿宋" w:hAnsi="仿宋" w:eastAsia="仿宋"/>
                <w:color w:val="000000"/>
                <w:spacing w:val="-2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after="223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中国新闻奖系列报道作品完整目录</w:t>
      </w:r>
    </w:p>
    <w:tbl>
      <w:tblPr>
        <w:tblStyle w:val="2"/>
        <w:tblpPr w:leftFromText="180" w:rightFromText="180" w:vertAnchor="text" w:horzAnchor="page" w:tblpX="1246" w:tblpY="42"/>
        <w:tblOverlap w:val="never"/>
        <w:tblW w:w="9713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2"/>
        <w:gridCol w:w="2602"/>
        <w:gridCol w:w="849"/>
        <w:gridCol w:w="992"/>
        <w:gridCol w:w="1559"/>
        <w:gridCol w:w="996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177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作品标题</w:t>
            </w:r>
          </w:p>
        </w:tc>
        <w:tc>
          <w:tcPr>
            <w:tcW w:w="794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firstLine="560"/>
              <w:jc w:val="center"/>
              <w:rPr>
                <w:rFonts w:hint="default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“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一带一路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eastAsia="zh-CN"/>
              </w:rPr>
              <w:t>”：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  <w:t>双向奔赴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单篇作品标题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体裁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字数/时长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刊播日期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刊播版面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9" w:hRule="exact"/>
        </w:trPr>
        <w:tc>
          <w:tcPr>
            <w:tcW w:w="83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伟大倡议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康庄大道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1198字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18页</w:t>
            </w:r>
          </w:p>
        </w:tc>
        <w:tc>
          <w:tcPr>
            <w:tcW w:w="9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华文中宋" w:hAnsi="华文中宋" w:eastAsia="华文中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4" w:hRule="exact"/>
        </w:trPr>
        <w:tc>
          <w:tcPr>
            <w:tcW w:w="831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中欧班列的“双向驱动”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3641字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19页</w:t>
            </w:r>
          </w:p>
        </w:tc>
        <w:tc>
          <w:tcPr>
            <w:tcW w:w="9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互联互通的“中新之恋”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3277字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22页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陆海之道的“运贸产”协奏曲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3320字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25页</w:t>
            </w:r>
          </w:p>
        </w:tc>
        <w:tc>
          <w:tcPr>
            <w:tcW w:w="94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和而不同的“诗和远方”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通讯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3931字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28页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共建“一带一路”倡议：中国式现代化的生动诠释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思想评论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2492字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31页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“一带一路”开拓了构建人类命运共同体的有效路径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思想评论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2815字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33页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弥合差异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心心相连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思想评论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2762字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35页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exact"/>
        </w:trPr>
        <w:tc>
          <w:tcPr>
            <w:tcW w:w="831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“我是‘一带一路’倡议的亲历者”</w:t>
            </w:r>
          </w:p>
        </w:tc>
        <w:tc>
          <w:tcPr>
            <w:tcW w:w="849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思想评论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2113字</w:t>
            </w:r>
          </w:p>
        </w:tc>
        <w:tc>
          <w:tcPr>
            <w:tcW w:w="1559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2023-09-16</w:t>
            </w:r>
          </w:p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《当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代</w:t>
            </w:r>
            <w:r>
              <w:rPr>
                <w:rFonts w:hint="eastAsia" w:ascii="仿宋" w:hAnsi="仿宋" w:eastAsia="仿宋" w:cs="仿宋"/>
                <w:sz w:val="15"/>
                <w:szCs w:val="15"/>
              </w:rPr>
              <w:t>党员》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特别策划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z w:val="15"/>
                <w:szCs w:val="15"/>
                <w:lang w:val="en-US" w:eastAsia="zh-CN"/>
              </w:rPr>
              <w:t>37页</w:t>
            </w:r>
          </w:p>
        </w:tc>
        <w:tc>
          <w:tcPr>
            <w:tcW w:w="942" w:type="dxa"/>
            <w:vAlign w:val="center"/>
          </w:tcPr>
          <w:p>
            <w:pPr>
              <w:snapToGrid w:val="0"/>
              <w:rPr>
                <w:rFonts w:ascii="华文中宋" w:hAnsi="华文中宋" w:eastAsia="华文中宋"/>
                <w:color w:val="000000"/>
                <w:sz w:val="28"/>
                <w:szCs w:val="28"/>
              </w:rPr>
            </w:pP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E"/>
    <w:rsid w:val="00194629"/>
    <w:rsid w:val="002A4EB4"/>
    <w:rsid w:val="002C3F08"/>
    <w:rsid w:val="00374D96"/>
    <w:rsid w:val="0040262C"/>
    <w:rsid w:val="006B0E21"/>
    <w:rsid w:val="008F4798"/>
    <w:rsid w:val="008F71EA"/>
    <w:rsid w:val="00927357"/>
    <w:rsid w:val="00962F4B"/>
    <w:rsid w:val="009E3DD8"/>
    <w:rsid w:val="00B42BD1"/>
    <w:rsid w:val="00BD68CE"/>
    <w:rsid w:val="00BF3866"/>
    <w:rsid w:val="00C01047"/>
    <w:rsid w:val="00C32975"/>
    <w:rsid w:val="00D20115"/>
    <w:rsid w:val="00E06888"/>
    <w:rsid w:val="00EA34D8"/>
    <w:rsid w:val="02B93F39"/>
    <w:rsid w:val="02CF5A46"/>
    <w:rsid w:val="05F1766E"/>
    <w:rsid w:val="08990450"/>
    <w:rsid w:val="115B58EF"/>
    <w:rsid w:val="15F4032A"/>
    <w:rsid w:val="173126DF"/>
    <w:rsid w:val="1A442730"/>
    <w:rsid w:val="1AC54824"/>
    <w:rsid w:val="1EB35276"/>
    <w:rsid w:val="23EC2D74"/>
    <w:rsid w:val="27D80035"/>
    <w:rsid w:val="2A5C707E"/>
    <w:rsid w:val="2C842776"/>
    <w:rsid w:val="303071AE"/>
    <w:rsid w:val="30925015"/>
    <w:rsid w:val="3169408D"/>
    <w:rsid w:val="3184498F"/>
    <w:rsid w:val="319F2000"/>
    <w:rsid w:val="31BA1B7B"/>
    <w:rsid w:val="33DB39CF"/>
    <w:rsid w:val="350A5897"/>
    <w:rsid w:val="36304BD6"/>
    <w:rsid w:val="3E0A6AF7"/>
    <w:rsid w:val="3E2D1342"/>
    <w:rsid w:val="3ECE1D5F"/>
    <w:rsid w:val="45FA1DF0"/>
    <w:rsid w:val="4B27404F"/>
    <w:rsid w:val="4E92161B"/>
    <w:rsid w:val="50460F27"/>
    <w:rsid w:val="54C84D46"/>
    <w:rsid w:val="55465161"/>
    <w:rsid w:val="55472AA4"/>
    <w:rsid w:val="562E6CCE"/>
    <w:rsid w:val="57785447"/>
    <w:rsid w:val="57D13485"/>
    <w:rsid w:val="608F1341"/>
    <w:rsid w:val="62BA0046"/>
    <w:rsid w:val="683C349E"/>
    <w:rsid w:val="69944D15"/>
    <w:rsid w:val="6CE20E78"/>
    <w:rsid w:val="6D3F54D2"/>
    <w:rsid w:val="6E56690A"/>
    <w:rsid w:val="73B837EF"/>
    <w:rsid w:val="742F57E7"/>
    <w:rsid w:val="7D203900"/>
    <w:rsid w:val="EF7B9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</Words>
  <Characters>872</Characters>
  <Lines>7</Lines>
  <Paragraphs>2</Paragraphs>
  <TotalTime>1</TotalTime>
  <ScaleCrop>false</ScaleCrop>
  <LinksUpToDate>false</LinksUpToDate>
  <CharactersWithSpaces>1022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2023-05-16T11:25:00Z</dcterms:created>
  <dc:creator>Administrator</dc:creator>
  <cp:lastModifiedBy>藤藤</cp:lastModifiedBy>
  <cp:lastPrinted>2024-03-15T18:37:00Z</cp:lastPrinted>
  <dcterms:modified xsi:type="dcterms:W3CDTF">2024-03-16T16:18:50Z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842AFD2C163859AAEA55F56517581916_43</vt:lpwstr>
  </property>
</Properties>
</file>