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中国新闻奖新闻期刊参评作品推荐表</w:t>
      </w:r>
    </w:p>
    <w:tbl>
      <w:tblPr>
        <w:tblStyle w:val="3"/>
        <w:tblW w:w="10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943"/>
        <w:gridCol w:w="127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缙云山生态治理“加减法”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典型报道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汪茂盛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  <w:lang w:val="en-US" w:eastAsia="zh-CN"/>
              </w:rPr>
              <w:t>集体（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张倵瑃、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唐春林、王志勇、赵廷虎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中共重庆市委当代党员杂志社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中共重庆市委当代党员杂志社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当代党员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2023年第17期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仿宋_GB2312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default" w:ascii="仿宋_GB2312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jc w:val="lef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https://m.12371.gov.cn/app/template/displayTemplate/news/newsDetail/5737/448205.html?isShare=true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4647字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0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" w:firstLineChars="200"/>
              <w:textAlignment w:val="auto"/>
              <w:rPr>
                <w:rFonts w:hint="default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缙云山国家级自然保护区是超大城市重庆中心城区的重要生态屏障、“绿肺”，但一度出现“破坏性大开发”，导致生态环境逐渐恶化。2018年6月，习近平总书记对缙云山生态环境问题作出重要批示。重庆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市委、市政府坚决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贯彻落实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习近平总书记重要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指示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批示精神，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5年多来，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缙云山国家级自然保护区生态环境综合整治攻坚战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取得显著成效。2023年，在学习贯彻习近平新时代中国特色社会主义思想主题教育中，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</w:rPr>
              <w:t>缙云山国家级自然保护区生态环境综合整治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工作被中央巡回指导组作为典型经验推介。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" w:firstLineChars="200"/>
              <w:textAlignment w:val="auto"/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2023年8月，《当代党员》全媒体派出记者前往缙云山生态环境综合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整治一线蹲点采访，梳理总结出“山上做减法、山下做加法”治理经验。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" w:firstLineChars="200"/>
              <w:textAlignment w:val="auto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记者深入缙云山生态环境综合整治一线采访区县相关部门，记录一幕幕动人画面：乡镇党委书记回忆起日夜奋战时流下的眼泪，搬迁居民看着新建房屋露出的笑脸……通过他们的故事和大量整治素材，记者梳理出综合整治在生态搬迁、拆补并举、产业植入和人技同防方面取得的经验，生动呈现了重庆市委、市政府坚决贯彻落实习近平生态文明思想、用实干实效诠释“绿水青山就是金山银山”理念的生动实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该报道通过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中共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重庆市委机关刊物《当代党员》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中共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重庆市委党建门户七一客户端、七一网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学习强国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等平台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发布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后，被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重庆市生态环境局官方网站等平台全文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转发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，全国生态环境保护大会召开后，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《当代党员》全媒体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及时推出该篇报道，取得强烈社会反响，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全网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阅读量超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万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华文中宋" w:hAnsi="华文中宋" w:eastAsia="华文中宋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该报道聚焦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缙云山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生态环境综合整治成效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，用一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个个扎根治理一线的基层干部故事，用一幅幅生态复绿的画面，用一组组翔实数据，展现出重庆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</w:rPr>
              <w:t>坚决贯彻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  <w:lang w:val="en-US" w:eastAsia="zh-CN"/>
              </w:rPr>
              <w:t>落实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</w:rPr>
              <w:t>习近平总书记重要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  <w:lang w:val="en-US" w:eastAsia="zh-CN"/>
              </w:rPr>
              <w:t>指示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</w:rPr>
              <w:t>批示精神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  <w:lang w:eastAsia="zh-CN"/>
              </w:rPr>
              <w:t>、牢固树立和践行“两山”理念</w:t>
            </w: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szCs w:val="24"/>
                <w:lang w:val="en-US" w:eastAsia="zh-CN"/>
              </w:rPr>
              <w:t>的决心与举措，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取材典型、时效性强、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采访扎实，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社会效果良好，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同意推荐。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（盖单位公章）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2024年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306" w:right="312" w:bottom="306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E"/>
    <w:rsid w:val="00194629"/>
    <w:rsid w:val="008F4798"/>
    <w:rsid w:val="00BD68CE"/>
    <w:rsid w:val="08E77226"/>
    <w:rsid w:val="0E915E81"/>
    <w:rsid w:val="1DE45BA4"/>
    <w:rsid w:val="1EEC737D"/>
    <w:rsid w:val="20644857"/>
    <w:rsid w:val="20713FC1"/>
    <w:rsid w:val="23915EFE"/>
    <w:rsid w:val="2ACD5D7F"/>
    <w:rsid w:val="2CC63D2E"/>
    <w:rsid w:val="2ED95841"/>
    <w:rsid w:val="324A3BCD"/>
    <w:rsid w:val="32D91D1C"/>
    <w:rsid w:val="335003A7"/>
    <w:rsid w:val="375943CD"/>
    <w:rsid w:val="3DB4235C"/>
    <w:rsid w:val="453417C3"/>
    <w:rsid w:val="45F81383"/>
    <w:rsid w:val="488E4757"/>
    <w:rsid w:val="494F0454"/>
    <w:rsid w:val="49BB7649"/>
    <w:rsid w:val="4CD41CE6"/>
    <w:rsid w:val="513E2E55"/>
    <w:rsid w:val="526D4E03"/>
    <w:rsid w:val="53507F6E"/>
    <w:rsid w:val="53B934E1"/>
    <w:rsid w:val="59345292"/>
    <w:rsid w:val="5D271760"/>
    <w:rsid w:val="5E144E24"/>
    <w:rsid w:val="5EC504AF"/>
    <w:rsid w:val="612072D9"/>
    <w:rsid w:val="61425890"/>
    <w:rsid w:val="623C0833"/>
    <w:rsid w:val="634C383C"/>
    <w:rsid w:val="63AF3887"/>
    <w:rsid w:val="644F1EA7"/>
    <w:rsid w:val="651B395C"/>
    <w:rsid w:val="696A22D9"/>
    <w:rsid w:val="6E312584"/>
    <w:rsid w:val="78142341"/>
    <w:rsid w:val="7D9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0</TotalTime>
  <ScaleCrop>false</ScaleCrop>
  <LinksUpToDate>false</LinksUpToDate>
  <CharactersWithSpaces>886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2023-05-16T03:25:00Z</dcterms:created>
  <dc:creator>Administrator</dc:creator>
  <cp:lastModifiedBy>Administrator</cp:lastModifiedBy>
  <dcterms:modified xsi:type="dcterms:W3CDTF">2024-03-15T14:36:22Z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CD0FA9CE684148958A52996A67666DCA</vt:lpwstr>
  </property>
</Properties>
</file>