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8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339"/>
        <w:gridCol w:w="790"/>
        <w:gridCol w:w="486"/>
        <w:gridCol w:w="992"/>
        <w:gridCol w:w="284"/>
        <w:gridCol w:w="567"/>
        <w:gridCol w:w="85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山海协奏曲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系列报道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/>
                <w:sz w:val="24"/>
                <w:szCs w:val="24"/>
                <w:lang w:val="en-US"/>
              </w:rPr>
              <w:t>14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秒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刘成国、周神青、</w:t>
            </w:r>
          </w:p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吴曼祯、李云霄、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冯驿驭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张倵瑃、徐焱、周莉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七一客户端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2025年6月26日8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20分至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2025年8月29日10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00" w:lineRule="exact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0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品首屏网址：</w:t>
            </w:r>
          </w:p>
          <w:p>
            <w:pPr>
              <w:spacing w:after="0" w:line="200" w:lineRule="exact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586105</wp:posOffset>
                  </wp:positionV>
                  <wp:extent cx="548640" cy="548640"/>
                  <wp:effectExtent l="0" t="0" r="3810" b="3810"/>
                  <wp:wrapTopAndBottom/>
                  <wp:docPr id="1" name="图片 1" descr="8cfadbcb681582c967296699ddf83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cfadbcb681582c967296699ddf8303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https://m.12371.gov.cn/app/template/displayTemplate/news/specDetail/6781/507704.html?isShare=true</w:t>
            </w:r>
          </w:p>
          <w:p>
            <w:pPr>
              <w:spacing w:after="0" w:line="200" w:lineRule="exact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0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代表作1：</w:t>
            </w:r>
          </w:p>
          <w:p>
            <w:pPr>
              <w:spacing w:after="0" w:line="200" w:lineRule="exact"/>
              <w:rPr>
                <w:rFonts w:ascii="Times New Roman" w:hAnsi="Times New Roman" w:eastAsia="方正仿宋_GBK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h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</w:rPr>
              <w:t>ttps://m.12371.gov.cn/app/template/displayTemplate/news/newsDetail/6504/493898.html?isView=true</w:t>
            </w:r>
          </w:p>
          <w:p>
            <w:pPr>
              <w:pStyle w:val="2"/>
              <w:spacing w:line="200" w:lineRule="exact"/>
              <w:rPr>
                <w:rFonts w:ascii="Times New Roman" w:hAnsi="Times New Roman" w:eastAsia="方正仿宋_GBK" w:cs="Times New Roman"/>
                <w:sz w:val="24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18"/>
              </w:rPr>
              <w:t>代表作2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</w:rPr>
              <w:t>：</w:t>
            </w:r>
          </w:p>
          <w:p>
            <w:pPr>
              <w:pStyle w:val="2"/>
              <w:spacing w:after="0" w:line="2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https://m.12371.gov.cn/app/template/displayTemplate/news/newsDetail/6504/495085.html?isView=true</w:t>
            </w:r>
          </w:p>
          <w:p>
            <w:pPr>
              <w:spacing w:line="200" w:lineRule="exact"/>
              <w:rPr>
                <w:rFonts w:ascii="Times New Roman" w:hAnsi="Times New Roman" w:eastAsia="方正仿宋_GBK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18"/>
                <w:lang w:val="en-US" w:eastAsia="zh-CN" w:bidi="ar-SA"/>
              </w:rPr>
              <w:t>代表作3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18"/>
                <w:lang w:val="en-US" w:eastAsia="zh-CN" w:bidi="ar-SA"/>
              </w:rPr>
              <w:t>：</w:t>
            </w:r>
          </w:p>
          <w:p>
            <w:pPr>
              <w:pStyle w:val="2"/>
              <w:spacing w:after="0" w:line="200" w:lineRule="exact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1388110</wp:posOffset>
                  </wp:positionH>
                  <wp:positionV relativeFrom="paragraph">
                    <wp:posOffset>640080</wp:posOffset>
                  </wp:positionV>
                  <wp:extent cx="553085" cy="553085"/>
                  <wp:effectExtent l="0" t="0" r="0" b="0"/>
                  <wp:wrapTopAndBottom/>
                  <wp:docPr id="19098417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8417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https://m.12371.gov.cn/app/template/displayTemplate/ne</w:t>
            </w: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ws/newsDetail/6504/497999.html?isView=true</w:t>
            </w:r>
          </w:p>
          <w:p>
            <w:pPr>
              <w:pStyle w:val="2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136525</wp:posOffset>
                  </wp:positionV>
                  <wp:extent cx="546735" cy="546735"/>
                  <wp:effectExtent l="0" t="0" r="5715" b="5715"/>
                  <wp:wrapTopAndBottom/>
                  <wp:docPr id="9282528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528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133350</wp:posOffset>
                  </wp:positionV>
                  <wp:extent cx="593725" cy="553085"/>
                  <wp:effectExtent l="0" t="0" r="0" b="0"/>
                  <wp:wrapTopAndBottom/>
                  <wp:docPr id="42447808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7808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9372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  是□ 否 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黑体_GBK"/>
                <w:sz w:val="24"/>
                <w:szCs w:val="21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市委宣传部“三好作品”  是☑ 否□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系列报道《山海协奏曲》紧扣习近平总书记赋予重庆“新时代西部大开发重要战略支点、内陆开放综合枢纽”的全新定位，以国家战略西部陆海新通道建设为主线，立足重庆作为通道物流和运营组织中心的功能使命，推出四个短视频篇章。作品以微观视角展现宏观格局，通过生动的群众生活场景和鲜活的经贸往来故事，深度诠释通道建设如何赋能内陆开放、联动区域发展的时代内涵，生动展现重庆在服务国家战略中的责任担当与实践作为。</w:t>
            </w:r>
          </w:p>
          <w:p>
            <w:pPr>
              <w:spacing w:after="0" w:line="300" w:lineRule="exact"/>
              <w:ind w:firstLine="480" w:firstLineChars="200"/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作品从群众生活、区域协作、产业联动等维度切入：第一集以奶茶珍珠原料木薯粉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为切口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，展现中老铁路5天直达的“中国速度”；第二集聚焦乌江构皮滩通航设施，记录“基建巨物”打通“黄金水道”，为黔货出山注入新动能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val="en-US" w:eastAsia="zh-CN"/>
              </w:rPr>
              <w:t>该集作品入选市委宣传部月度三好作品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；第三集讲述贵州刺梨等农产品借道西部陆海新通道走向东南亚，生动印证了重庆串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联西部省区市、搭建高效物流网所发挥的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重要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作用；第四集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着眼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“重庆供浆、广西造纸、东盟销售”产业链闭环，记录一张纸从永川竹海到东盟市场的跨国旅程，打造区域协同鲜活范本。</w:t>
            </w:r>
          </w:p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的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四个篇章相互呼应，以生动画面和通俗表达让开放理念深入人心，传递了区域协同、共建共享的发展理念。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该作品由当代党员杂志社原创首发于七一网、七一客户端，并联合当代广西杂志社、贵州日报报刊社同步推出，形成三省区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党刊联动传播声势。作品一经发布，即被渝黔桂三地20多家主流新闻网站及相关单位广泛转载。</w:t>
            </w:r>
          </w:p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作品以微观视角切入，直观展现了通道在民生改善、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基建互联、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区域协作、产业联动等方面的赋能价值，传递了开放协同的发展理念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引发社会各界对西部陆海新通道建设的广泛关注，有效凝聚了通道沿线省区市协同开放的发展共识，取得了良好的传播效果。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741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1.https://v.douyin.com/P-x0rFTEyUM/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741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2.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https://www.toutiao.com/video/7526131746174140979/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741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https://www.kuaishou.com/f/X-a5zvTK1rVXt1al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11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80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200+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该作品作为党刊原创视频精品，紧扣国家重大战略，以鲜活的镜头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语言，用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小切口折射大主题，生动展现了西部陆海新通道建设的生动实践。渝黔桂三地党刊联动推出、协同传播，创新了区域媒体合作模式，有力传播了通道建设的时代强音，凝聚了协同开放的发展共识。同意推荐。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wordWrap w:val="0"/>
              <w:spacing w:after="0" w:line="260" w:lineRule="exact"/>
              <w:jc w:val="right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吴曼祯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023-63856943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13060068926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0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重庆市两江新区食品城大道35号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954251283@qq.com</w:t>
            </w:r>
          </w:p>
        </w:tc>
      </w:tr>
    </w:tbl>
    <w:p>
      <w:pPr>
        <w:spacing w:after="0" w:line="260" w:lineRule="exact"/>
        <w:rPr>
          <w:rFonts w:ascii="Times New Roman" w:hAnsi="Times New Roman" w:eastAsia="方正仿宋_GBK" w:cs="仿宋"/>
          <w:sz w:val="24"/>
          <w:szCs w:val="18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_GBK" w:cs="方正小标宋简体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</w:rPr>
        <w:t>重庆新闻奖系列报道作品完整目录</w:t>
      </w:r>
    </w:p>
    <w:p>
      <w:pPr>
        <w:pStyle w:val="2"/>
        <w:spacing w:after="0" w:line="400" w:lineRule="exact"/>
      </w:pPr>
    </w:p>
    <w:tbl>
      <w:tblPr>
        <w:tblStyle w:val="18"/>
        <w:tblW w:w="9542" w:type="dxa"/>
        <w:tblInd w:w="-126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2"/>
        <w:gridCol w:w="2488"/>
        <w:gridCol w:w="963"/>
        <w:gridCol w:w="1164"/>
        <w:gridCol w:w="1387"/>
        <w:gridCol w:w="996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方正仿宋_GBK" w:hAnsi="Times New Roman" w:eastAsia="方正仿宋_GBK" w:cs="方正黑体_GBK"/>
                <w:sz w:val="28"/>
              </w:rPr>
            </w:pPr>
            <w:r>
              <w:rPr>
                <w:rFonts w:hint="eastAsia" w:ascii="方正仿宋_GBK" w:hAnsi="Times New Roman" w:eastAsia="方正仿宋_GBK" w:cs="方正黑体_GBK"/>
                <w:sz w:val="24"/>
                <w:szCs w:val="21"/>
              </w:rPr>
              <w:t>山海协奏曲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单篇作品标题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西部陆海新通道向南行｜一口“Q弹”的诞生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视频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2分21秒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2025年6月26日8时20分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七一客户端“山海协奏曲”专题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</w:trPr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西部陆海新通道向南行｜“基建巨物”贯通“黄金水道”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视频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1分27秒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2025年7月12日17时34分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七一客户端“山海协奏曲”专题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</w:trPr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西部陆海新通道向南行｜贵州“金果”的朋友圈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视频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2分33秒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2025年8月1日15时45分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七一客户端“山海协奏曲”专题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西部陆海新通道向南行｜一纸连山海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视频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2分26秒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2025年8月29日10时20分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七一客户端“山海协奏曲”专题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</w:tbl>
    <w:p>
      <w:pPr>
        <w:pStyle w:val="2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D"/>
    <w:rsid w:val="000361FE"/>
    <w:rsid w:val="00083211"/>
    <w:rsid w:val="000A7BC7"/>
    <w:rsid w:val="001412C4"/>
    <w:rsid w:val="001C3CD0"/>
    <w:rsid w:val="00207B0A"/>
    <w:rsid w:val="00210B20"/>
    <w:rsid w:val="002114CD"/>
    <w:rsid w:val="002154BA"/>
    <w:rsid w:val="00227633"/>
    <w:rsid w:val="00242BED"/>
    <w:rsid w:val="0030068C"/>
    <w:rsid w:val="0030323B"/>
    <w:rsid w:val="00383E72"/>
    <w:rsid w:val="003F1A55"/>
    <w:rsid w:val="00434A8B"/>
    <w:rsid w:val="00434F2F"/>
    <w:rsid w:val="00445390"/>
    <w:rsid w:val="004726DD"/>
    <w:rsid w:val="00482B79"/>
    <w:rsid w:val="004945AA"/>
    <w:rsid w:val="004B0CD0"/>
    <w:rsid w:val="004C458F"/>
    <w:rsid w:val="004C6C19"/>
    <w:rsid w:val="004C6F30"/>
    <w:rsid w:val="004E5391"/>
    <w:rsid w:val="004F1E9E"/>
    <w:rsid w:val="005257CF"/>
    <w:rsid w:val="00533391"/>
    <w:rsid w:val="00540DD5"/>
    <w:rsid w:val="00546391"/>
    <w:rsid w:val="0056308A"/>
    <w:rsid w:val="005A7525"/>
    <w:rsid w:val="005B7C85"/>
    <w:rsid w:val="005E034E"/>
    <w:rsid w:val="005F72F2"/>
    <w:rsid w:val="00602228"/>
    <w:rsid w:val="006717D1"/>
    <w:rsid w:val="006733B2"/>
    <w:rsid w:val="00702AB8"/>
    <w:rsid w:val="007058E8"/>
    <w:rsid w:val="00707DCD"/>
    <w:rsid w:val="00711D3C"/>
    <w:rsid w:val="007279E6"/>
    <w:rsid w:val="00743F83"/>
    <w:rsid w:val="00747584"/>
    <w:rsid w:val="00773868"/>
    <w:rsid w:val="0078244B"/>
    <w:rsid w:val="00790581"/>
    <w:rsid w:val="007B731D"/>
    <w:rsid w:val="007E5B94"/>
    <w:rsid w:val="007E7954"/>
    <w:rsid w:val="008949A2"/>
    <w:rsid w:val="008B73BD"/>
    <w:rsid w:val="008D6FCD"/>
    <w:rsid w:val="008F10CF"/>
    <w:rsid w:val="008F3702"/>
    <w:rsid w:val="008F7B63"/>
    <w:rsid w:val="00910C0D"/>
    <w:rsid w:val="00945A45"/>
    <w:rsid w:val="0096749D"/>
    <w:rsid w:val="00981464"/>
    <w:rsid w:val="009A4D63"/>
    <w:rsid w:val="009B351D"/>
    <w:rsid w:val="00A00525"/>
    <w:rsid w:val="00A143C9"/>
    <w:rsid w:val="00A26C38"/>
    <w:rsid w:val="00A33B67"/>
    <w:rsid w:val="00A56D3A"/>
    <w:rsid w:val="00A87311"/>
    <w:rsid w:val="00AB3AF9"/>
    <w:rsid w:val="00B10C73"/>
    <w:rsid w:val="00B92BF4"/>
    <w:rsid w:val="00BD475E"/>
    <w:rsid w:val="00BD65EC"/>
    <w:rsid w:val="00BE10AD"/>
    <w:rsid w:val="00C10E0E"/>
    <w:rsid w:val="00C55EE4"/>
    <w:rsid w:val="00CB0F92"/>
    <w:rsid w:val="00CB498A"/>
    <w:rsid w:val="00CD0DE0"/>
    <w:rsid w:val="00D53554"/>
    <w:rsid w:val="00D57626"/>
    <w:rsid w:val="00D77DDD"/>
    <w:rsid w:val="00DB587C"/>
    <w:rsid w:val="00DF2A56"/>
    <w:rsid w:val="00E115D6"/>
    <w:rsid w:val="00E615DF"/>
    <w:rsid w:val="00E76F06"/>
    <w:rsid w:val="00ED3D8D"/>
    <w:rsid w:val="00F14B08"/>
    <w:rsid w:val="00F67FCC"/>
    <w:rsid w:val="00F81C9C"/>
    <w:rsid w:val="00F82853"/>
    <w:rsid w:val="00F941FC"/>
    <w:rsid w:val="00FE0791"/>
    <w:rsid w:val="04813D18"/>
    <w:rsid w:val="10885829"/>
    <w:rsid w:val="1A7C77D0"/>
    <w:rsid w:val="1C5562E0"/>
    <w:rsid w:val="1D8C1E03"/>
    <w:rsid w:val="1FDA362A"/>
    <w:rsid w:val="22D556A4"/>
    <w:rsid w:val="28B12353"/>
    <w:rsid w:val="2D29530C"/>
    <w:rsid w:val="2D5F68C4"/>
    <w:rsid w:val="38514551"/>
    <w:rsid w:val="3E3D45B7"/>
    <w:rsid w:val="442E606D"/>
    <w:rsid w:val="45E10FE4"/>
    <w:rsid w:val="4D7435BE"/>
    <w:rsid w:val="505A4933"/>
    <w:rsid w:val="520509BC"/>
    <w:rsid w:val="564454E3"/>
    <w:rsid w:val="5CDBCF5D"/>
    <w:rsid w:val="5F4D334E"/>
    <w:rsid w:val="62CE111C"/>
    <w:rsid w:val="64E9276A"/>
    <w:rsid w:val="66140A48"/>
    <w:rsid w:val="6A33697C"/>
    <w:rsid w:val="6CDF1220"/>
    <w:rsid w:val="712D4EF8"/>
    <w:rsid w:val="742C2243"/>
    <w:rsid w:val="7BA60871"/>
    <w:rsid w:val="7FFF4D7F"/>
    <w:rsid w:val="B8C33E5D"/>
    <w:rsid w:val="BFBEF9FF"/>
    <w:rsid w:val="D7B7E6C4"/>
    <w:rsid w:val="FFDFF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9"/>
    <w:unhideWhenUsed/>
    <w:qFormat/>
    <w:uiPriority w:val="99"/>
    <w:pPr>
      <w:spacing w:after="120"/>
    </w:pPr>
  </w:style>
  <w:style w:type="paragraph" w:styleId="1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 字符"/>
    <w:basedOn w:val="19"/>
    <w:link w:val="2"/>
    <w:qFormat/>
    <w:uiPriority w:val="99"/>
    <w:rPr>
      <w:rFonts w:ascii="Calibri" w:hAnsi="Calibri" w:eastAsia="宋体" w:cs="黑体"/>
    </w:rPr>
  </w:style>
  <w:style w:type="character" w:customStyle="1" w:styleId="40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9"/>
    <w:link w:val="1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2">
    <w:name w:val="页脚 字符"/>
    <w:basedOn w:val="19"/>
    <w:link w:val="1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3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1366</Words>
  <Characters>1960</Characters>
  <Lines>15</Lines>
  <Paragraphs>4</Paragraphs>
  <TotalTime>0</TotalTime>
  <ScaleCrop>false</ScaleCrop>
  <LinksUpToDate>false</LinksUpToDate>
  <CharactersWithSpaces>2012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2025-03-24T14:34:00Z</dcterms:created>
  <dc:creator>焱 徐</dc:creator>
  <cp:lastModifiedBy>DY</cp:lastModifiedBy>
  <dcterms:modified xsi:type="dcterms:W3CDTF">2026-03-10T08:08:42Z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C06198483F104DFDA68D61CC911CF7C4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