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3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187"/>
        <w:gridCol w:w="175"/>
        <w:gridCol w:w="1170"/>
        <w:gridCol w:w="1224"/>
        <w:gridCol w:w="91"/>
        <w:gridCol w:w="914"/>
        <w:gridCol w:w="28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9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跨区域联合报道的路径探索</w:t>
            </w:r>
            <w:bookmarkStart w:id="0" w:name="_GoBack"/>
            <w:bookmarkEnd w:id="0"/>
          </w:p>
        </w:tc>
        <w:tc>
          <w:tcPr>
            <w:tcW w:w="1315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新闻业务研究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913" w:type="dxa"/>
            <w:gridSpan w:val="6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华文中宋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215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913" w:type="dxa"/>
            <w:gridSpan w:val="6"/>
            <w:vMerge w:val="continue"/>
            <w:vAlign w:val="center"/>
          </w:tcPr>
          <w:p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40" w:lineRule="atLeast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743" w:type="dxa"/>
            <w:gridSpan w:val="5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方正仿宋_GBK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程亮、赵青</w:t>
            </w:r>
          </w:p>
        </w:tc>
        <w:tc>
          <w:tcPr>
            <w:tcW w:w="1170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611" w:type="dxa"/>
            <w:gridSpan w:val="5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方正仿宋_GBK"/>
                <w:w w:val="95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钱尔赫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743" w:type="dxa"/>
            <w:gridSpan w:val="5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中共重庆市委当代党员杂志社、重庆三峡融媒体中心</w:t>
            </w:r>
          </w:p>
        </w:tc>
        <w:tc>
          <w:tcPr>
            <w:tcW w:w="1170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611" w:type="dxa"/>
            <w:gridSpan w:val="5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《传媒》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743" w:type="dxa"/>
            <w:gridSpan w:val="5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after="0" w:line="38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日期</w:t>
            </w:r>
          </w:p>
        </w:tc>
        <w:tc>
          <w:tcPr>
            <w:tcW w:w="4611" w:type="dxa"/>
            <w:gridSpan w:val="5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年第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913" w:type="dxa"/>
            <w:gridSpan w:val="6"/>
            <w:vMerge w:val="restart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</w:p>
        </w:tc>
        <w:tc>
          <w:tcPr>
            <w:tcW w:w="4611" w:type="dxa"/>
            <w:gridSpan w:val="5"/>
            <w:vAlign w:val="center"/>
          </w:tcPr>
          <w:p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913" w:type="dxa"/>
            <w:gridSpan w:val="6"/>
            <w:vMerge w:val="continue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611" w:type="dxa"/>
            <w:gridSpan w:val="5"/>
            <w:vAlign w:val="center"/>
          </w:tcPr>
          <w:p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6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1"/>
            <w:vAlign w:val="center"/>
          </w:tcPr>
          <w:p>
            <w:pPr>
              <w:spacing w:after="0" w:line="340" w:lineRule="exact"/>
              <w:ind w:firstLine="240" w:firstLineChars="100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“沿着总书记的足迹·长江文明行”大型融媒报道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获评第27届重庆新闻奖融合报道类一等奖、2024年度中国地市报新闻专题类一等奖，是重大主题跨区域联合报道的典型范例。研究者以该典型范例为研究对象，采用参与式与抽离式相结合的研究方法，通过梳理策划、采访、报道、效果四方面“第一手”资料，从选题策划、内容生产、产品形态、传播方式四个维度，对如何整合区域性主流媒体资源，增强重大主题宣传覆盖面、公信度、影响力的路径进行了探析。总体来看，该论文逻辑严谨、论述翔实，跳出以往研究多关注“单一媒体融合报道”的视角局限，回答了地方性主流媒体如何突破地域局限与资源瓶颈来提高生产力、品牌力这一现实问题，是一项“从实践到理论、理论再到实践”的研究成果，其价值不仅仅是对一次成功报道的全面复盘，更提供了一份开展重大主题宣传的“操作手册”——以区域联合激活资源存量优势，以媒介协同应对舆论生态之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1"/>
            <w:vAlign w:val="center"/>
          </w:tcPr>
          <w:p>
            <w:pPr>
              <w:spacing w:after="0" w:line="340" w:lineRule="exact"/>
              <w:ind w:firstLine="480" w:firstLineChars="200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该论文在国家新闻出版署主管、中国新闻出版研究院主办的CSSCI（扩展版）来源期刊，中国人文社会科学期刊AMI综合评价（A刊）扩展版期刊，RCCSE中国核心学术期刊（A-）《传媒》上发表，并获得《传媒》官方微信公众号单条信息推送，被中国知网、维普资讯中文期刊服务平台、万方数据知识服务平台、龙源期刊网等平台收录，受到业内普遍赞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2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8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该论文聚焦重大主题跨区域典型报道个案，通过“解剖麻雀”的研究范式，以“小”见“大”，生动地剖析了在主流媒体系统性变革背景下，地方性主流媒体如何借助资源整合这一方式，推动专业共同体凝聚，开展大型融媒体报道，提升作品辨识度的路径。该论文发表在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兼具业内口碑和影响力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核心期刊上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，被多个大型数据库收录，其表达的“联动不是权宜之计，而应成为媒体深度融合创制常态”的观点，对地方性主流媒体提升主业能力具有重要参考价值。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80" w:firstLineChars="200"/>
              <w:textAlignment w:val="auto"/>
              <w:rPr>
                <w:rFonts w:ascii="Times New Roman" w:hAnsi="Times New Roman" w:eastAsia="华文中宋"/>
                <w:spacing w:val="-2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经我单位审核，该作品内容真实，申报材料情况属实，同意报送。   </w:t>
            </w: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spacing w:after="0" w:line="260" w:lineRule="exact"/>
              <w:jc w:val="right"/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</w:pPr>
          </w:p>
          <w:p>
            <w:pPr>
              <w:spacing w:after="0" w:line="260" w:lineRule="exact"/>
              <w:jc w:val="right"/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        </w:t>
            </w:r>
          </w:p>
          <w:p>
            <w:pPr>
              <w:spacing w:after="0" w:line="260" w:lineRule="exact"/>
              <w:jc w:val="righ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签名：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 xml:space="preserve">                  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赵青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023-63856237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18983129738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重庆市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两江新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区食品城大道35号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1185020128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lang w:val="en-US" w:eastAsia="zh-CN"/>
              </w:rPr>
              <w:t>@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qq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lang w:val="en-US" w:eastAsia="zh-CN"/>
              </w:rPr>
              <w:t>.com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E2929"/>
    <w:rsid w:val="02320615"/>
    <w:rsid w:val="034D28E2"/>
    <w:rsid w:val="282E2929"/>
    <w:rsid w:val="2F496299"/>
    <w:rsid w:val="307F179B"/>
    <w:rsid w:val="38A53937"/>
    <w:rsid w:val="3C78332E"/>
    <w:rsid w:val="406E58B1"/>
    <w:rsid w:val="4366D4E2"/>
    <w:rsid w:val="43A44749"/>
    <w:rsid w:val="5AFFB00D"/>
    <w:rsid w:val="5D111B96"/>
    <w:rsid w:val="5D7F7FCF"/>
    <w:rsid w:val="6FFF5C8E"/>
    <w:rsid w:val="76FF219B"/>
    <w:rsid w:val="781A6DAA"/>
    <w:rsid w:val="793FAB78"/>
    <w:rsid w:val="7B662D42"/>
    <w:rsid w:val="7F24CFEF"/>
    <w:rsid w:val="7F3D1613"/>
    <w:rsid w:val="C77FDDA6"/>
    <w:rsid w:val="DFFE6207"/>
    <w:rsid w:val="FBFB947A"/>
    <w:rsid w:val="FBFF7E15"/>
    <w:rsid w:val="FDBE453B"/>
    <w:rsid w:val="FEFF3123"/>
    <w:rsid w:val="FF9C9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1044</Words>
  <Characters>1107</Characters>
  <Lines>0</Lines>
  <Paragraphs>0</Paragraphs>
  <TotalTime>4</TotalTime>
  <ScaleCrop>false</ScaleCrop>
  <LinksUpToDate>false</LinksUpToDate>
  <CharactersWithSpaces>1168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2026-03-08T22:44:00Z</dcterms:created>
  <dc:creator>Lucky</dc:creator>
  <cp:lastModifiedBy>cqdk10</cp:lastModifiedBy>
  <dcterms:modified xsi:type="dcterms:W3CDTF">2026-03-09T12:55:40Z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4729F08AF4A4BDDD77DFAB697586D567_43</vt:lpwstr>
  </property>
  <property fmtid="{D5CDD505-2E9C-101B-9397-08002B2CF9AE}" pid="4" name="KSOTemplateDocerSaveRecord">
    <vt:lpwstr>eyJoZGlkIjoiMmQ3ZWQzZDVkODQ5YzYwOTU3ZWI3MDk4MTk1MjMyZmEiLCJ1c2VySWQiOiIyNzEyMTc0ODMifQ==</vt:lpwstr>
  </property>
</Properties>
</file>