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p>
    <w:tbl>
      <w:tblPr>
        <w:tblStyle w:val="6"/>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63"/>
        <w:gridCol w:w="322"/>
        <w:gridCol w:w="1284"/>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31" w:type="dxa"/>
            <w:gridSpan w:val="6"/>
            <w:vAlign w:val="center"/>
          </w:tcPr>
          <w:p>
            <w:pPr>
              <w:spacing w:after="0" w:line="260" w:lineRule="exact"/>
              <w:jc w:val="center"/>
              <w:rPr>
                <w:rFonts w:ascii="Times New Roman" w:hAnsi="Times New Roman" w:eastAsia="华文中宋"/>
                <w:sz w:val="28"/>
              </w:rPr>
            </w:pPr>
            <w:r>
              <w:rPr>
                <w:rFonts w:hint="eastAsia" w:ascii="Times New Roman" w:hAnsi="Times New Roman" w:eastAsia="方正仿宋_GBK" w:cs="仿宋"/>
                <w:sz w:val="24"/>
                <w:szCs w:val="18"/>
              </w:rPr>
              <w:t>重庆：数字化城市呼之欲出</w:t>
            </w: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pPr>
              <w:spacing w:after="0" w:line="260" w:lineRule="exact"/>
              <w:jc w:val="center"/>
              <w:rPr>
                <w:rFonts w:hint="default" w:ascii="Times New Roman" w:hAnsi="Times New Roman" w:eastAsia="宋体"/>
                <w:sz w:val="24"/>
                <w:szCs w:val="24"/>
                <w:lang w:val="en-US" w:eastAsia="zh-CN"/>
              </w:rPr>
            </w:pPr>
            <w:r>
              <w:rPr>
                <w:rFonts w:hint="eastAsia" w:ascii="Times New Roman" w:hAnsi="Times New Roman" w:eastAsia="方正仿宋_GBK" w:cs="仿宋"/>
                <w:sz w:val="24"/>
                <w:szCs w:val="18"/>
                <w:lang w:val="en-US" w:eastAsia="zh-CN"/>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4" w:type="dxa"/>
            <w:vMerge w:val="restart"/>
            <w:vAlign w:val="center"/>
          </w:tcPr>
          <w:p>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31" w:type="dxa"/>
            <w:gridSpan w:val="6"/>
            <w:vMerge w:val="restart"/>
            <w:vAlign w:val="center"/>
          </w:tcPr>
          <w:p>
            <w:pPr>
              <w:spacing w:after="0" w:line="300" w:lineRule="exact"/>
              <w:jc w:val="center"/>
              <w:rPr>
                <w:rFonts w:hint="default" w:ascii="Times New Roman" w:hAnsi="Times New Roman" w:eastAsia="华文中宋"/>
                <w:sz w:val="28"/>
                <w:lang w:val="en-US" w:eastAsia="zh-CN"/>
              </w:rPr>
            </w:pPr>
            <w:r>
              <w:rPr>
                <w:rFonts w:hint="eastAsia" w:ascii="Times New Roman" w:hAnsi="Times New Roman" w:eastAsia="方正仿宋_GBK" w:cs="仿宋"/>
                <w:sz w:val="24"/>
                <w:szCs w:val="18"/>
                <w:lang w:val="en-US" w:eastAsia="zh-CN"/>
              </w:rPr>
              <w:t>4449字</w:t>
            </w: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pPr>
              <w:spacing w:after="0" w:line="26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cs="仿宋"/>
                <w:sz w:val="24"/>
                <w:szCs w:val="18"/>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4" w:type="dxa"/>
            <w:vMerge w:val="continue"/>
            <w:vAlign w:val="center"/>
          </w:tcPr>
          <w:p>
            <w:pPr>
              <w:spacing w:after="0" w:line="380" w:lineRule="exact"/>
              <w:jc w:val="center"/>
              <w:rPr>
                <w:rFonts w:ascii="Times New Roman" w:hAnsi="Times New Roman" w:eastAsia="方正黑体_GBK" w:cs="方正黑体_GBK"/>
                <w:sz w:val="28"/>
              </w:rPr>
            </w:pPr>
          </w:p>
        </w:tc>
        <w:tc>
          <w:tcPr>
            <w:tcW w:w="3531" w:type="dxa"/>
            <w:gridSpan w:val="6"/>
            <w:vMerge w:val="continue"/>
            <w:vAlign w:val="center"/>
          </w:tcPr>
          <w:p>
            <w:pPr>
              <w:spacing w:after="0" w:line="320" w:lineRule="exact"/>
              <w:rPr>
                <w:rFonts w:ascii="Times New Roman" w:hAnsi="Times New Roman" w:eastAsia="方正仿宋_GBK" w:cs="仿宋"/>
                <w:sz w:val="24"/>
                <w:szCs w:val="18"/>
              </w:rPr>
            </w:pP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pPr>
              <w:spacing w:after="0" w:line="240" w:lineRule="atLeas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pPr>
              <w:spacing w:after="0" w:line="26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张倵瑃</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陈诚</w:t>
            </w:r>
            <w:r>
              <w:rPr>
                <w:rFonts w:hint="eastAsia" w:ascii="方正仿宋_GBK" w:hAnsi="方正仿宋_GBK" w:eastAsia="方正仿宋_GBK" w:cs="方正仿宋_GBK"/>
                <w:sz w:val="24"/>
                <w:szCs w:val="24"/>
                <w:lang w:eastAsia="zh-CN"/>
              </w:rPr>
              <w:t>、</w:t>
            </w:r>
          </w:p>
          <w:p>
            <w:pPr>
              <w:spacing w:after="0" w:line="2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王婉玲</w:t>
            </w:r>
          </w:p>
        </w:tc>
        <w:tc>
          <w:tcPr>
            <w:tcW w:w="1129" w:type="dxa"/>
            <w:gridSpan w:val="2"/>
            <w:vAlign w:val="center"/>
          </w:tcPr>
          <w:p>
            <w:pPr>
              <w:spacing w:after="0" w:line="380" w:lineRule="exact"/>
              <w:jc w:val="center"/>
              <w:rPr>
                <w:rFonts w:hint="eastAsia" w:ascii="方正仿宋_GBK" w:hAnsi="方正仿宋_GBK" w:eastAsia="方正仿宋_GBK" w:cs="方正仿宋_GBK"/>
                <w:sz w:val="24"/>
                <w:szCs w:val="24"/>
              </w:rPr>
            </w:pPr>
            <w:r>
              <w:rPr>
                <w:rFonts w:hint="eastAsia" w:ascii="Times New Roman" w:hAnsi="Times New Roman" w:eastAsia="方正黑体_GBK" w:cs="方正黑体_GBK"/>
                <w:sz w:val="28"/>
              </w:rPr>
              <w:t>编辑</w:t>
            </w:r>
          </w:p>
        </w:tc>
        <w:tc>
          <w:tcPr>
            <w:tcW w:w="4993" w:type="dxa"/>
            <w:gridSpan w:val="6"/>
            <w:vAlign w:val="center"/>
          </w:tcPr>
          <w:p>
            <w:pPr>
              <w:spacing w:after="0" w:line="240" w:lineRule="exact"/>
              <w:jc w:val="center"/>
              <w:rPr>
                <w:rFonts w:hint="eastAsia" w:ascii="方正仿宋_GBK" w:hAnsi="方正仿宋_GBK" w:eastAsia="方正仿宋_GBK" w:cs="方正仿宋_GBK"/>
                <w:w w:val="95"/>
                <w:sz w:val="24"/>
                <w:szCs w:val="24"/>
                <w:lang w:val="en-US" w:eastAsia="zh-CN"/>
              </w:rPr>
            </w:pPr>
            <w:r>
              <w:rPr>
                <w:rFonts w:hint="eastAsia" w:ascii="方正仿宋_GBK" w:hAnsi="方正仿宋_GBK" w:eastAsia="方正仿宋_GBK" w:cs="方正仿宋_GBK"/>
                <w:sz w:val="24"/>
                <w:szCs w:val="24"/>
                <w:lang w:val="en-US" w:eastAsia="zh-CN"/>
              </w:rPr>
              <w:t>集体（颜明华、陈国栋、赵廷虎、许幼飞）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pPr>
              <w:spacing w:after="0" w:line="260" w:lineRule="exact"/>
              <w:jc w:val="center"/>
              <w:rPr>
                <w:rFonts w:hint="eastAsia" w:ascii="Times New Roman" w:hAnsi="Times New Roman" w:eastAsia="方正仿宋_GBK" w:cs="仿宋"/>
                <w:sz w:val="24"/>
                <w:szCs w:val="18"/>
              </w:rPr>
            </w:pPr>
            <w:r>
              <w:rPr>
                <w:rFonts w:hint="eastAsia" w:ascii="Times New Roman" w:hAnsi="Times New Roman" w:eastAsia="方正仿宋_GBK" w:cs="仿宋"/>
                <w:sz w:val="24"/>
                <w:szCs w:val="18"/>
              </w:rPr>
              <w:t>中共重庆市委</w:t>
            </w:r>
          </w:p>
          <w:p>
            <w:pPr>
              <w:spacing w:after="0" w:line="260" w:lineRule="exact"/>
              <w:jc w:val="center"/>
              <w:rPr>
                <w:rFonts w:ascii="Times New Roman" w:hAnsi="Times New Roman"/>
                <w:szCs w:val="21"/>
              </w:rPr>
            </w:pPr>
            <w:r>
              <w:rPr>
                <w:rFonts w:hint="eastAsia" w:ascii="Times New Roman" w:hAnsi="Times New Roman" w:eastAsia="方正仿宋_GBK" w:cs="仿宋"/>
                <w:sz w:val="24"/>
                <w:szCs w:val="18"/>
              </w:rPr>
              <w:t>当代党员杂志社</w:t>
            </w:r>
          </w:p>
        </w:tc>
        <w:tc>
          <w:tcPr>
            <w:tcW w:w="1129" w:type="dxa"/>
            <w:gridSpan w:val="2"/>
            <w:vAlign w:val="center"/>
          </w:tcPr>
          <w:p>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993" w:type="dxa"/>
            <w:gridSpan w:val="6"/>
            <w:vAlign w:val="center"/>
          </w:tcPr>
          <w:p>
            <w:pPr>
              <w:spacing w:after="0" w:line="260" w:lineRule="exact"/>
              <w:jc w:val="center"/>
              <w:rPr>
                <w:rFonts w:ascii="Times New Roman" w:hAnsi="Times New Roman"/>
                <w:sz w:val="18"/>
                <w:szCs w:val="18"/>
              </w:rPr>
            </w:pPr>
            <w:r>
              <w:rPr>
                <w:rFonts w:hint="eastAsia" w:ascii="Times New Roman" w:hAnsi="Times New Roman" w:eastAsia="方正仿宋_GBK" w:cs="仿宋"/>
                <w:sz w:val="24"/>
                <w:szCs w:val="18"/>
              </w:rPr>
              <w:t>《当代党员》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pPr>
              <w:spacing w:after="0" w:line="260" w:lineRule="exact"/>
              <w:jc w:val="center"/>
              <w:rPr>
                <w:rFonts w:hint="default" w:ascii="Times New Roman" w:hAnsi="Times New Roman" w:eastAsia="宋体"/>
                <w:szCs w:val="21"/>
                <w:lang w:val="en-US" w:eastAsia="zh-CN"/>
              </w:rPr>
            </w:pPr>
          </w:p>
        </w:tc>
        <w:tc>
          <w:tcPr>
            <w:tcW w:w="1129" w:type="dxa"/>
            <w:gridSpan w:val="2"/>
            <w:vAlign w:val="center"/>
          </w:tcPr>
          <w:p>
            <w:pPr>
              <w:spacing w:after="0" w:line="380" w:lineRule="exact"/>
              <w:jc w:val="center"/>
              <w:rPr>
                <w:rFonts w:hint="eastAsia" w:ascii="Times New Roman" w:hAnsi="Times New Roman" w:eastAsia="方正黑体_GBK" w:cs="方正黑体_GBK"/>
                <w:sz w:val="28"/>
              </w:rPr>
            </w:pPr>
            <w:r>
              <w:rPr>
                <w:rFonts w:hint="eastAsia" w:ascii="Times New Roman" w:hAnsi="Times New Roman" w:eastAsia="方正黑体_GBK" w:cs="方正黑体_GBK"/>
                <w:sz w:val="28"/>
              </w:rPr>
              <w:t>刊播</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日期</w:t>
            </w:r>
          </w:p>
        </w:tc>
        <w:tc>
          <w:tcPr>
            <w:tcW w:w="4993" w:type="dxa"/>
            <w:gridSpan w:val="6"/>
            <w:vAlign w:val="center"/>
          </w:tcPr>
          <w:p>
            <w:pPr>
              <w:spacing w:after="0" w:line="260" w:lineRule="exact"/>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 w:val="24"/>
                <w:szCs w:val="21"/>
                <w:lang w:val="en-US" w:eastAsia="zh-CN"/>
              </w:rPr>
              <w:t>2025年第9期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824" w:type="dxa"/>
            <w:vMerge w:val="restart"/>
            <w:vAlign w:val="center"/>
          </w:tcPr>
          <w:p>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3531" w:type="dxa"/>
            <w:gridSpan w:val="6"/>
            <w:vMerge w:val="restart"/>
            <w:vAlign w:val="center"/>
          </w:tcPr>
          <w:p>
            <w:pPr>
              <w:spacing w:after="0" w:line="260" w:lineRule="exact"/>
              <w:rPr>
                <w:rFonts w:ascii="Times New Roman" w:hAnsi="Times New Roman" w:eastAsia="华文中宋"/>
                <w:sz w:val="28"/>
              </w:rPr>
            </w:pPr>
          </w:p>
        </w:tc>
        <w:tc>
          <w:tcPr>
            <w:tcW w:w="4993" w:type="dxa"/>
            <w:gridSpan w:val="6"/>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824" w:type="dxa"/>
            <w:vMerge w:val="continue"/>
            <w:vAlign w:val="center"/>
          </w:tcPr>
          <w:p>
            <w:pPr>
              <w:spacing w:after="0" w:line="340" w:lineRule="exact"/>
              <w:rPr>
                <w:rFonts w:ascii="Times New Roman" w:hAnsi="Times New Roman" w:eastAsia="方正黑体_GBK" w:cs="方正黑体_GBK"/>
                <w:sz w:val="24"/>
                <w:szCs w:val="21"/>
              </w:rPr>
            </w:pPr>
          </w:p>
        </w:tc>
        <w:tc>
          <w:tcPr>
            <w:tcW w:w="3531" w:type="dxa"/>
            <w:gridSpan w:val="6"/>
            <w:vMerge w:val="continue"/>
            <w:vAlign w:val="center"/>
          </w:tcPr>
          <w:p>
            <w:pPr>
              <w:spacing w:after="0" w:line="260" w:lineRule="exact"/>
              <w:rPr>
                <w:rFonts w:ascii="Times New Roman" w:hAnsi="Times New Roman" w:eastAsia="方正仿宋_GBK" w:cs="仿宋"/>
                <w:sz w:val="24"/>
                <w:szCs w:val="18"/>
              </w:rPr>
            </w:pPr>
          </w:p>
        </w:tc>
        <w:tc>
          <w:tcPr>
            <w:tcW w:w="4993" w:type="dxa"/>
            <w:gridSpan w:val="6"/>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8" w:hRule="atLeas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textAlignment w:val="auto"/>
              <w:rPr>
                <w:rFonts w:hint="eastAsia" w:ascii="Times New Roman" w:hAnsi="Times New Roman" w:eastAsia="方正仿宋_GBK"/>
                <w:sz w:val="24"/>
                <w:szCs w:val="28"/>
              </w:rPr>
            </w:pPr>
            <w:r>
              <w:rPr>
                <w:rFonts w:hint="eastAsia" w:ascii="Times New Roman" w:hAnsi="Times New Roman" w:eastAsia="方正仿宋_GBK"/>
                <w:sz w:val="24"/>
                <w:szCs w:val="28"/>
              </w:rPr>
              <w:t>在数字中国</w:t>
            </w:r>
            <w:r>
              <w:rPr>
                <w:rFonts w:hint="eastAsia" w:ascii="Times New Roman" w:hAnsi="Times New Roman" w:eastAsia="方正仿宋_GBK"/>
                <w:sz w:val="24"/>
                <w:szCs w:val="28"/>
                <w:lang w:eastAsia="zh-CN"/>
              </w:rPr>
              <w:t>建设</w:t>
            </w:r>
            <w:r>
              <w:rPr>
                <w:rFonts w:hint="eastAsia" w:ascii="Times New Roman" w:hAnsi="Times New Roman" w:eastAsia="方正仿宋_GBK"/>
                <w:sz w:val="24"/>
                <w:szCs w:val="28"/>
              </w:rPr>
              <w:t>深入实施的宏大背景下，该作品紧扣数字重庆建设这一关键变量，以2025年</w:t>
            </w:r>
            <w:r>
              <w:rPr>
                <w:rFonts w:hint="eastAsia" w:ascii="Times New Roman" w:hAnsi="Times New Roman" w:eastAsia="方正仿宋_GBK"/>
                <w:sz w:val="24"/>
                <w:szCs w:val="28"/>
                <w:lang w:val="en-US" w:eastAsia="zh-CN"/>
              </w:rPr>
              <w:t>4月</w:t>
            </w:r>
            <w:r>
              <w:rPr>
                <w:rFonts w:hint="eastAsia" w:ascii="Times New Roman" w:hAnsi="Times New Roman" w:eastAsia="方正仿宋_GBK"/>
                <w:sz w:val="24"/>
                <w:szCs w:val="28"/>
              </w:rPr>
              <w:t>数字重庆建设推进会召开为契机，全景式展现了重庆作为一座超大城市，在数字化浪潮中从“夯基垒台”迈向“整体跃升”的深刻变革。作品立意高远，以“数字化是现代化新重庆建设必答题”破题，生动诠释了数字技术如何成为推动生产、生活和治理方式转型的核心引擎。</w:t>
            </w:r>
          </w:p>
          <w:p>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textAlignment w:val="auto"/>
            </w:pPr>
            <w:r>
              <w:rPr>
                <w:rFonts w:hint="eastAsia" w:ascii="Times New Roman" w:hAnsi="Times New Roman" w:eastAsia="方正仿宋_GBK"/>
                <w:sz w:val="24"/>
                <w:szCs w:val="28"/>
              </w:rPr>
              <w:t>该作品结构清晰，围绕“效能跃升”“数字</w:t>
            </w:r>
            <w:r>
              <w:rPr>
                <w:rFonts w:hint="eastAsia" w:ascii="方正仿宋_GBK" w:hAnsi="方正仿宋_GBK" w:eastAsia="方正仿宋_GBK" w:cs="方正仿宋_GBK"/>
                <w:sz w:val="24"/>
                <w:szCs w:val="28"/>
              </w:rPr>
              <w:t>‘</w:t>
            </w:r>
            <w:r>
              <w:rPr>
                <w:rFonts w:hint="eastAsia" w:ascii="Times New Roman" w:hAnsi="Times New Roman" w:eastAsia="方正仿宋_GBK"/>
                <w:sz w:val="24"/>
                <w:szCs w:val="28"/>
              </w:rPr>
              <w:t>智</w:t>
            </w:r>
            <w:r>
              <w:rPr>
                <w:rFonts w:hint="eastAsia" w:ascii="方正仿宋_GBK" w:hAnsi="方正仿宋_GBK" w:eastAsia="方正仿宋_GBK" w:cs="方正仿宋_GBK"/>
                <w:sz w:val="24"/>
                <w:szCs w:val="28"/>
              </w:rPr>
              <w:t>’</w:t>
            </w:r>
            <w:r>
              <w:rPr>
                <w:rFonts w:hint="eastAsia" w:ascii="Times New Roman" w:hAnsi="Times New Roman" w:eastAsia="方正仿宋_GBK"/>
                <w:sz w:val="24"/>
                <w:szCs w:val="28"/>
              </w:rPr>
              <w:t>理”“</w:t>
            </w:r>
            <w:r>
              <w:rPr>
                <w:rFonts w:hint="eastAsia" w:ascii="方正仿宋_GBK" w:hAnsi="方正仿宋_GBK" w:eastAsia="方正仿宋_GBK" w:cs="方正仿宋_GBK"/>
                <w:sz w:val="24"/>
                <w:szCs w:val="28"/>
              </w:rPr>
              <w:t>‘</w:t>
            </w:r>
            <w:r>
              <w:rPr>
                <w:rFonts w:hint="eastAsia" w:ascii="Times New Roman" w:hAnsi="Times New Roman" w:eastAsia="方正仿宋_GBK"/>
                <w:sz w:val="24"/>
                <w:szCs w:val="28"/>
              </w:rPr>
              <w:t>智</w:t>
            </w:r>
            <w:r>
              <w:rPr>
                <w:rFonts w:hint="eastAsia" w:ascii="方正仿宋_GBK" w:hAnsi="方正仿宋_GBK" w:eastAsia="方正仿宋_GBK" w:cs="方正仿宋_GBK"/>
                <w:sz w:val="24"/>
                <w:szCs w:val="28"/>
              </w:rPr>
              <w:t>’</w:t>
            </w:r>
            <w:r>
              <w:rPr>
                <w:rFonts w:hint="eastAsia" w:ascii="Times New Roman" w:hAnsi="Times New Roman" w:eastAsia="方正仿宋_GBK"/>
                <w:sz w:val="24"/>
                <w:szCs w:val="28"/>
              </w:rPr>
              <w:t>造蝶变”“民生为大”四个维度展开，以点带面，</w:t>
            </w:r>
            <w:r>
              <w:rPr>
                <w:rFonts w:hint="eastAsia" w:ascii="Times New Roman" w:hAnsi="Times New Roman" w:eastAsia="方正仿宋_GBK"/>
                <w:sz w:val="24"/>
                <w:szCs w:val="28"/>
                <w:lang w:eastAsia="zh-CN"/>
              </w:rPr>
              <w:t>翔</w:t>
            </w:r>
            <w:r>
              <w:rPr>
                <w:rFonts w:hint="eastAsia" w:ascii="Times New Roman" w:hAnsi="Times New Roman" w:eastAsia="方正仿宋_GBK"/>
                <w:sz w:val="24"/>
                <w:szCs w:val="28"/>
              </w:rPr>
              <w:t>实记录了数字重庆“1361”整体构架从蓝图变为现实的进程。这不仅是对重庆两年</w:t>
            </w:r>
            <w:r>
              <w:rPr>
                <w:rFonts w:hint="eastAsia" w:ascii="Times New Roman" w:hAnsi="Times New Roman" w:eastAsia="方正仿宋_GBK"/>
                <w:sz w:val="24"/>
                <w:szCs w:val="28"/>
                <w:lang w:eastAsia="zh-CN"/>
              </w:rPr>
              <w:t>来</w:t>
            </w:r>
            <w:r>
              <w:rPr>
                <w:rFonts w:hint="eastAsia" w:ascii="Times New Roman" w:hAnsi="Times New Roman" w:eastAsia="方正仿宋_GBK"/>
                <w:sz w:val="24"/>
                <w:szCs w:val="28"/>
              </w:rPr>
              <w:t>数字化建设成果的阶段性总结，更是对数字中国建设在地方实践的一次深度观察。它用细腻的笔触描绘了技术赋能下城市治理的精细化与人性化，展现了重庆在探索超大城</w:t>
            </w:r>
            <w:r>
              <w:rPr>
                <w:rFonts w:hint="eastAsia" w:ascii="Times New Roman" w:hAnsi="Times New Roman" w:eastAsia="方正仿宋_GBK"/>
                <w:sz w:val="24"/>
                <w:szCs w:val="28"/>
                <w:lang w:eastAsia="zh-CN"/>
              </w:rPr>
              <w:t>市</w:t>
            </w:r>
            <w:r>
              <w:rPr>
                <w:rFonts w:hint="eastAsia" w:ascii="Times New Roman" w:hAnsi="Times New Roman" w:eastAsia="方正仿宋_GBK"/>
                <w:sz w:val="24"/>
                <w:szCs w:val="28"/>
              </w:rPr>
              <w:t>现代化治理新路子上的担当与作为，为理解新质生产力与城市高质量发展的内在联系提供了鲜活的重庆样本，具有重要的新闻价值与时代意义。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exac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ascii="Times New Roman" w:hAnsi="Times New Roman" w:eastAsia="方正仿宋_GBK"/>
                <w:sz w:val="24"/>
                <w:szCs w:val="28"/>
              </w:rPr>
            </w:pPr>
            <w:r>
              <w:rPr>
                <w:rFonts w:hint="eastAsia" w:ascii="Times New Roman" w:hAnsi="Times New Roman" w:eastAsia="方正仿宋_GBK"/>
                <w:sz w:val="24"/>
                <w:szCs w:val="28"/>
              </w:rPr>
              <w:t>该作品由中共重庆市委党建门户七一客户端、七一网及中共重庆市委机关刊物《当代党员》首发后，迅速引发社会各界热烈反响，并获得中央网信办及市委网信办全网推送，影响力辐射全国，新华社、人民日报、半月谈、光明网等权威央媒纷纷转载推荐。截至目前，该作品在各平台综合阅读量超百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824" w:type="dxa"/>
            <w:vMerge w:val="restart"/>
            <w:vAlign w:val="center"/>
          </w:tcPr>
          <w:p>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Merge w:val="restart"/>
            <w:vAlign w:val="center"/>
          </w:tcPr>
          <w:p>
            <w:pPr>
              <w:spacing w:after="0" w:line="420" w:lineRule="exact"/>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956"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ascii="Times New Roman" w:hAnsi="Times New Roman" w:eastAsia="方正仿宋_GBK"/>
                <w:sz w:val="24"/>
                <w:szCs w:val="24"/>
              </w:rPr>
            </w:pPr>
            <w:r>
              <w:rPr>
                <w:rFonts w:hint="eastAsia" w:ascii="Times New Roman" w:hAnsi="Times New Roman" w:eastAsia="方正仿宋_GBK"/>
                <w:sz w:val="24"/>
                <w:szCs w:val="24"/>
              </w:rPr>
              <w:t>1.https://m.12371.gov.cn/app/template/displayTemplate/news/newsDetail/6132/491045.html?isView=true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1824" w:type="dxa"/>
            <w:vMerge w:val="continue"/>
            <w:vAlign w:val="center"/>
          </w:tcPr>
          <w:p>
            <w:pPr>
              <w:pStyle w:val="2"/>
              <w:spacing w:after="0" w:line="320" w:lineRule="exact"/>
              <w:rPr>
                <w:rFonts w:ascii="方正仿宋_GBK" w:eastAsia="方正仿宋_GBK"/>
              </w:rPr>
            </w:pPr>
          </w:p>
        </w:tc>
        <w:tc>
          <w:tcPr>
            <w:tcW w:w="2568" w:type="dxa"/>
            <w:gridSpan w:val="5"/>
            <w:vMerge w:val="continue"/>
            <w:vAlign w:val="center"/>
          </w:tcPr>
          <w:p>
            <w:pPr>
              <w:spacing w:after="0" w:line="420" w:lineRule="exact"/>
              <w:rPr>
                <w:rFonts w:ascii="Times New Roman" w:hAnsi="Times New Roman" w:eastAsia="方正仿宋_GBK"/>
                <w:sz w:val="24"/>
                <w:szCs w:val="28"/>
              </w:rPr>
            </w:pPr>
          </w:p>
        </w:tc>
        <w:tc>
          <w:tcPr>
            <w:tcW w:w="5956"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ascii="Times New Roman" w:hAnsi="Times New Roman" w:eastAsia="方正仿宋_GBK"/>
                <w:sz w:val="24"/>
                <w:szCs w:val="24"/>
              </w:rPr>
            </w:pPr>
            <w:r>
              <w:rPr>
                <w:rFonts w:hint="eastAsia" w:ascii="Times New Roman" w:hAnsi="Times New Roman" w:eastAsia="方正仿宋_GBK"/>
                <w:sz w:val="24"/>
                <w:szCs w:val="24"/>
              </w:rPr>
              <w:t>2.https://www.12371.gov.cn/web/article/1438696690067722240/web/content_1438696690067722240.html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jc w:val="center"/>
        </w:trPr>
        <w:tc>
          <w:tcPr>
            <w:tcW w:w="1824" w:type="dxa"/>
            <w:vMerge w:val="continue"/>
            <w:vAlign w:val="center"/>
          </w:tcPr>
          <w:p>
            <w:pPr>
              <w:spacing w:after="0" w:line="320" w:lineRule="exact"/>
              <w:jc w:val="center"/>
              <w:rPr>
                <w:rFonts w:ascii="Times New Roman" w:hAnsi="Times New Roman" w:eastAsia="方正黑体_GBK" w:cs="方正黑体_GBK"/>
                <w:sz w:val="28"/>
              </w:rPr>
            </w:pPr>
          </w:p>
        </w:tc>
        <w:tc>
          <w:tcPr>
            <w:tcW w:w="2568" w:type="dxa"/>
            <w:gridSpan w:val="5"/>
            <w:vMerge w:val="continue"/>
            <w:tcBorders>
              <w:bottom w:val="single" w:color="auto" w:sz="4" w:space="0"/>
            </w:tcBorders>
            <w:vAlign w:val="center"/>
          </w:tcPr>
          <w:p>
            <w:pPr>
              <w:spacing w:after="0" w:line="420" w:lineRule="exact"/>
              <w:rPr>
                <w:rFonts w:ascii="方正楷体_GBK" w:hAnsi="Times New Roman" w:eastAsia="方正楷体_GBK"/>
                <w:sz w:val="24"/>
                <w:szCs w:val="28"/>
              </w:rPr>
            </w:pPr>
          </w:p>
        </w:tc>
        <w:tc>
          <w:tcPr>
            <w:tcW w:w="5956"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24" w:type="dxa"/>
            <w:vMerge w:val="continue"/>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185w+</w:t>
            </w:r>
          </w:p>
        </w:tc>
        <w:tc>
          <w:tcPr>
            <w:tcW w:w="1285" w:type="dxa"/>
            <w:gridSpan w:val="2"/>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284" w:type="dxa"/>
            <w:tcBorders>
              <w:bottom w:val="single" w:color="auto" w:sz="4" w:space="0"/>
            </w:tcBorders>
            <w:vAlign w:val="center"/>
          </w:tcPr>
          <w:p>
            <w:pPr>
              <w:spacing w:after="0" w:line="360" w:lineRule="exact"/>
              <w:jc w:val="center"/>
              <w:rPr>
                <w:rFonts w:ascii="方正楷体_GBK" w:hAnsi="Times New Roman" w:eastAsia="方正楷体_GBK"/>
                <w:sz w:val="24"/>
                <w:szCs w:val="28"/>
              </w:rPr>
            </w:pPr>
          </w:p>
        </w:tc>
        <w:tc>
          <w:tcPr>
            <w:tcW w:w="1285" w:type="dxa"/>
            <w:gridSpan w:val="3"/>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2102" w:type="dxa"/>
            <w:tcBorders>
              <w:bottom w:val="single" w:color="auto" w:sz="4" w:space="0"/>
            </w:tcBorders>
            <w:vAlign w:val="center"/>
          </w:tcPr>
          <w:p>
            <w:pPr>
              <w:spacing w:after="0" w:line="360" w:lineRule="exact"/>
              <w:jc w:val="center"/>
              <w:rPr>
                <w:rFonts w:ascii="Times New Roman" w:hAnsi="Times New Roman"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7" w:hRule="exact"/>
          <w:jc w:val="center"/>
        </w:trPr>
        <w:tc>
          <w:tcPr>
            <w:tcW w:w="1824" w:type="dxa"/>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Times New Roman" w:hAnsi="Times New Roman" w:eastAsia="方正仿宋_GBK"/>
                <w:sz w:val="24"/>
                <w:szCs w:val="28"/>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方正仿宋_GBK"/>
                <w:sz w:val="24"/>
                <w:szCs w:val="28"/>
              </w:rPr>
            </w:pPr>
          </w:p>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方正仿宋_GBK"/>
                <w:sz w:val="24"/>
                <w:szCs w:val="28"/>
              </w:rPr>
            </w:pPr>
            <w:r>
              <w:rPr>
                <w:rFonts w:hint="eastAsia" w:ascii="Times New Roman" w:hAnsi="Times New Roman" w:eastAsia="方正仿宋_GBK"/>
                <w:sz w:val="24"/>
                <w:szCs w:val="28"/>
              </w:rPr>
              <w:t>该</w:t>
            </w:r>
            <w:r>
              <w:rPr>
                <w:rFonts w:hint="eastAsia" w:ascii="Times New Roman" w:hAnsi="Times New Roman" w:eastAsia="方正仿宋_GBK"/>
                <w:sz w:val="24"/>
                <w:szCs w:val="28"/>
                <w:lang w:eastAsia="zh-CN"/>
              </w:rPr>
              <w:t>作品</w:t>
            </w:r>
            <w:r>
              <w:rPr>
                <w:rFonts w:hint="eastAsia" w:ascii="Times New Roman" w:hAnsi="Times New Roman" w:eastAsia="方正仿宋_GBK"/>
                <w:sz w:val="24"/>
                <w:szCs w:val="28"/>
              </w:rPr>
              <w:t>紧扣数字中国</w:t>
            </w:r>
            <w:r>
              <w:rPr>
                <w:rFonts w:hint="eastAsia" w:ascii="Times New Roman" w:hAnsi="Times New Roman" w:eastAsia="方正仿宋_GBK"/>
                <w:sz w:val="24"/>
                <w:szCs w:val="28"/>
                <w:lang w:eastAsia="zh-CN"/>
              </w:rPr>
              <w:t>建设</w:t>
            </w:r>
            <w:bookmarkStart w:id="0" w:name="_GoBack"/>
            <w:bookmarkEnd w:id="0"/>
            <w:r>
              <w:rPr>
                <w:rFonts w:hint="eastAsia" w:ascii="Times New Roman" w:hAnsi="Times New Roman" w:eastAsia="方正仿宋_GBK"/>
                <w:sz w:val="24"/>
                <w:szCs w:val="28"/>
              </w:rPr>
              <w:t>在重庆的生动实践，立意深远、视野宏阔，是聚焦“国之大者”与“数字重庆”的精品力作</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被</w:t>
            </w:r>
            <w:r>
              <w:rPr>
                <w:rFonts w:hint="eastAsia" w:ascii="Times New Roman" w:hAnsi="Times New Roman" w:eastAsia="方正仿宋_GBK"/>
                <w:sz w:val="24"/>
                <w:szCs w:val="28"/>
              </w:rPr>
              <w:t>新华社、人民日报、半月谈、光明网等权威央媒纷纷转载推荐</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全网阅读量破百万。</w:t>
            </w:r>
            <w:r>
              <w:rPr>
                <w:rFonts w:hint="eastAsia" w:ascii="Times New Roman" w:hAnsi="Times New Roman" w:eastAsia="方正仿宋_GBK"/>
                <w:sz w:val="24"/>
                <w:szCs w:val="28"/>
              </w:rPr>
              <w:t>作品以2025年</w:t>
            </w:r>
            <w:r>
              <w:rPr>
                <w:rFonts w:hint="eastAsia" w:ascii="Times New Roman" w:hAnsi="Times New Roman" w:eastAsia="方正仿宋_GBK"/>
                <w:sz w:val="24"/>
                <w:szCs w:val="28"/>
                <w:lang w:val="en-US" w:eastAsia="zh-CN"/>
              </w:rPr>
              <w:t>4月</w:t>
            </w:r>
            <w:r>
              <w:rPr>
                <w:rFonts w:hint="eastAsia" w:ascii="Times New Roman" w:hAnsi="Times New Roman" w:eastAsia="方正仿宋_GBK"/>
                <w:sz w:val="24"/>
                <w:szCs w:val="28"/>
              </w:rPr>
              <w:t>数字重庆建设推进会为新起点，深度解码“1361”整体构架从蓝图变为现实的演进逻辑。</w:t>
            </w:r>
            <w:r>
              <w:rPr>
                <w:rFonts w:hint="eastAsia" w:ascii="Times New Roman" w:hAnsi="Times New Roman" w:eastAsia="方正仿宋_GBK"/>
                <w:sz w:val="24"/>
                <w:szCs w:val="28"/>
                <w:lang w:eastAsia="zh-CN"/>
              </w:rPr>
              <w:t>作品</w:t>
            </w:r>
            <w:r>
              <w:rPr>
                <w:rFonts w:hint="eastAsia" w:ascii="Times New Roman" w:hAnsi="Times New Roman" w:eastAsia="方正仿宋_GBK"/>
                <w:sz w:val="24"/>
                <w:szCs w:val="28"/>
              </w:rPr>
              <w:t>既有对“信息孤岛变数据大陆”的宏观洞察，又有对“群众急难愁盼快速响应”的细腻描摹，深刻诠释了数字化作为新质生产力核心引擎的澎湃动能，为超大城市现代化治理提供了极具价值的“重庆样本”。作品叙事张弛有度、案例翔实生动，兼具政治高度、思想深度</w:t>
            </w:r>
            <w:r>
              <w:rPr>
                <w:rFonts w:hint="eastAsia" w:ascii="Times New Roman" w:hAnsi="Times New Roman" w:eastAsia="方正仿宋_GBK"/>
                <w:sz w:val="24"/>
                <w:szCs w:val="28"/>
                <w:lang w:eastAsia="zh-CN"/>
              </w:rPr>
              <w:t>、情感</w:t>
            </w:r>
            <w:r>
              <w:rPr>
                <w:rFonts w:hint="eastAsia" w:ascii="Times New Roman" w:hAnsi="Times New Roman" w:eastAsia="方正仿宋_GBK"/>
                <w:sz w:val="24"/>
                <w:szCs w:val="28"/>
              </w:rPr>
              <w:t>温度</w:t>
            </w:r>
            <w:r>
              <w:rPr>
                <w:rFonts w:hint="eastAsia" w:ascii="Times New Roman" w:hAnsi="Times New Roman" w:eastAsia="方正仿宋_GBK"/>
                <w:sz w:val="24"/>
                <w:szCs w:val="28"/>
                <w:lang w:eastAsia="zh-CN"/>
              </w:rPr>
              <w:t>和传播广度</w:t>
            </w:r>
            <w:r>
              <w:rPr>
                <w:rFonts w:hint="eastAsia" w:ascii="Times New Roman" w:hAnsi="Times New Roman" w:eastAsia="方正仿宋_GBK"/>
                <w:sz w:val="24"/>
                <w:szCs w:val="28"/>
              </w:rPr>
              <w:t xml:space="preserve">，有力推动了数字重庆建设舆论氛围升温加热，是重大主题报道中兼具示范意义与传播价值的典范之作。        </w:t>
            </w:r>
          </w:p>
          <w:p>
            <w:pPr>
              <w:rPr>
                <w:rFonts w:hint="eastAsia" w:ascii="Times New Roman" w:hAnsi="Times New Roman" w:eastAsia="方正仿宋_GBK"/>
                <w:sz w:val="24"/>
                <w:szCs w:val="28"/>
              </w:rPr>
            </w:pPr>
          </w:p>
          <w:p>
            <w:pPr>
              <w:pStyle w:val="2"/>
              <w:rPr>
                <w:rFonts w:hint="eastAsia"/>
              </w:rPr>
            </w:pPr>
          </w:p>
          <w:p>
            <w:pPr>
              <w:rPr>
                <w:rFonts w:hint="eastAsia"/>
              </w:rPr>
            </w:pPr>
          </w:p>
          <w:p>
            <w:pPr>
              <w:spacing w:after="0" w:line="260" w:lineRule="exact"/>
              <w:jc w:val="lef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签名：</w:t>
            </w:r>
            <w:r>
              <w:rPr>
                <w:rFonts w:hint="eastAsia" w:ascii="Times New Roman" w:hAnsi="Times New Roman" w:eastAsia="方正仿宋_GBK"/>
                <w:sz w:val="24"/>
                <w:szCs w:val="28"/>
                <w:lang w:val="en-US" w:eastAsia="zh-CN"/>
              </w:rPr>
              <w:t xml:space="preserve">      </w:t>
            </w:r>
            <w:r>
              <w:rPr>
                <w:rFonts w:hint="default" w:ascii="Times New Roman" w:hAnsi="Times New Roman" w:eastAsia="方正仿宋_GBK"/>
                <w:sz w:val="24"/>
                <w:szCs w:val="28"/>
                <w:lang w:val="en-US"/>
              </w:rPr>
              <w:t xml:space="preserve">        </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年</w:t>
            </w:r>
            <w:r>
              <w:rPr>
                <w:rFonts w:hint="default" w:ascii="Times New Roman" w:hAnsi="Times New Roman" w:eastAsia="方正仿宋_GBK" w:cs="Times New Roman"/>
                <w:sz w:val="24"/>
                <w:szCs w:val="28"/>
                <w:lang w:val="en-US"/>
              </w:rPr>
              <w:t>3</w:t>
            </w:r>
            <w:r>
              <w:rPr>
                <w:rFonts w:ascii="Times New Roman" w:hAnsi="Times New Roman" w:eastAsia="方正仿宋_GBK" w:cs="Times New Roman"/>
                <w:sz w:val="24"/>
                <w:szCs w:val="28"/>
              </w:rPr>
              <w:t>月</w:t>
            </w:r>
            <w:r>
              <w:rPr>
                <w:rFonts w:hint="default" w:ascii="Times New Roman" w:hAnsi="Times New Roman" w:eastAsia="方正仿宋_GBK" w:cs="Times New Roman"/>
                <w:sz w:val="24"/>
                <w:szCs w:val="28"/>
                <w:lang w:val="en-US"/>
              </w:rPr>
              <w:t>8</w:t>
            </w:r>
            <w:r>
              <w:rPr>
                <w:rFonts w:ascii="Times New Roman" w:hAnsi="Times New Roman" w:eastAsia="方正仿宋_GBK" w:cs="Times New Roman"/>
                <w:sz w:val="24"/>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default" w:ascii="Times New Roman" w:hAnsi="Times New Roman" w:eastAsia="方正黑体_GBK" w:cs="方正黑体_GBK"/>
                <w:sz w:val="28"/>
                <w:lang w:val="en-US" w:eastAsia="zh-CN"/>
              </w:rPr>
            </w:pPr>
            <w:r>
              <w:rPr>
                <w:rFonts w:hint="eastAsia" w:ascii="Times New Roman" w:hAnsi="Times New Roman" w:eastAsia="方正仿宋_GBK"/>
                <w:sz w:val="24"/>
                <w:szCs w:val="28"/>
                <w:lang w:val="en-US" w:eastAsia="zh-CN"/>
              </w:rPr>
              <w:t>陈诚</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sz w:val="24"/>
                <w:szCs w:val="28"/>
              </w:rPr>
              <w:t>15023039042</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sz w:val="24"/>
                <w:szCs w:val="28"/>
              </w:rPr>
              <w:t>15023039042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sz w:val="24"/>
                <w:szCs w:val="24"/>
                <w:lang w:val="en-US" w:eastAsia="zh-CN"/>
              </w:rPr>
              <w:t>重庆市两江新区食品城大道35号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1219275390@qq.com</w:t>
            </w:r>
          </w:p>
        </w:tc>
      </w:tr>
    </w:tbl>
    <w:p>
      <w:pPr>
        <w:spacing w:after="0" w:line="240" w:lineRule="auto"/>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宋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55D3C"/>
    <w:rsid w:val="06971EC9"/>
    <w:rsid w:val="0B143542"/>
    <w:rsid w:val="0D929AEB"/>
    <w:rsid w:val="18EFC4CF"/>
    <w:rsid w:val="1F655D3C"/>
    <w:rsid w:val="2EC54658"/>
    <w:rsid w:val="33DA52AA"/>
    <w:rsid w:val="3F4367A4"/>
    <w:rsid w:val="3FFD8C2C"/>
    <w:rsid w:val="54417C4B"/>
    <w:rsid w:val="558570B1"/>
    <w:rsid w:val="698C05B6"/>
    <w:rsid w:val="6B9678B6"/>
    <w:rsid w:val="733035DE"/>
    <w:rsid w:val="78767001"/>
    <w:rsid w:val="7D497E9A"/>
    <w:rsid w:val="9FEDCCC0"/>
    <w:rsid w:val="BE6FCB90"/>
    <w:rsid w:val="BEAEC194"/>
    <w:rsid w:val="D9FFFF42"/>
    <w:rsid w:val="F3FB9767"/>
    <w:rsid w:val="F3FCEF81"/>
    <w:rsid w:val="FCDFB6B6"/>
    <w:rsid w:val="FEDEF30A"/>
    <w:rsid w:val="FF2BC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paragraph" w:styleId="4">
    <w:name w:val="Body Text 3"/>
    <w:basedOn w:val="1"/>
    <w:unhideWhenUsed/>
    <w:qFormat/>
    <w:uiPriority w:val="99"/>
    <w:pPr>
      <w:spacing w:after="120"/>
    </w:pPr>
    <w:rPr>
      <w:rFonts w:eastAsia="仿宋_GB2312"/>
      <w:sz w:val="16"/>
      <w:szCs w:val="16"/>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1412</Characters>
  <Lines>0</Lines>
  <Paragraphs>0</Paragraphs>
  <TotalTime>35</TotalTime>
  <ScaleCrop>false</ScaleCrop>
  <LinksUpToDate>false</LinksUpToDate>
  <CharactersWithSpaces>1468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2026-03-08T15:30:00Z</dcterms:created>
  <dc:creator>Ci</dc:creator>
  <cp:lastModifiedBy>cqdk10</cp:lastModifiedBy>
  <cp:lastPrinted>2026-03-11T04:22:00Z</cp:lastPrinted>
  <dcterms:modified xsi:type="dcterms:W3CDTF">2026-03-09T14:35:29Z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B908F595DC7A4F7DA341976BF2AE1547_13</vt:lpwstr>
  </property>
  <property fmtid="{D5CDD505-2E9C-101B-9397-08002B2CF9AE}" pid="4" name="KSOTemplateDocerSaveRecord">
    <vt:lpwstr>eyJoZGlkIjoiMzQ2YjdiNDdjNmZhYTMzNTUyMGY2ZTc4MTYyZjc1MzYiLCJ1c2VySWQiOiIxOTk0MzU4MjkifQ==</vt:lpwstr>
  </property>
</Properties>
</file>