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339"/>
        <w:gridCol w:w="790"/>
        <w:gridCol w:w="486"/>
        <w:gridCol w:w="992"/>
        <w:gridCol w:w="284"/>
        <w:gridCol w:w="567"/>
        <w:gridCol w:w="85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进藏手记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9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3597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字；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秒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徐焱、刘露、王柏林、罗欣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张倵瑃、刘成国、周神青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七一客户端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2025年3月14日10时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6分至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2025年4月12日9时24分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作品首屏网址：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https://m.12371.gov.cn/app/template/displayTemplate/news/tagList/570.html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Style w:val="20"/>
                <w:rFonts w:hint="eastAsia" w:ascii="Times New Roman" w:hAnsi="Times New Roman" w:eastAsia="方正仿宋_GBK" w:cs="仿宋"/>
                <w:sz w:val="24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635</wp:posOffset>
                  </wp:positionV>
                  <wp:extent cx="719455" cy="719455"/>
                  <wp:effectExtent l="0" t="0" r="4445" b="4445"/>
                  <wp:wrapNone/>
                  <wp:docPr id="7664795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795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代表作1：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https://m.12371.gov.cn/app/template/displayTemplate/news/newsDetail/6364/486623.html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代表作2：</w:t>
            </w: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https://m.12371.gov.cn/app/template/displayTemplate/news/newsDetail/6364/486775.html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代表作3：</w:t>
            </w: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ascii="Times New Roman" w:hAnsi="Times New Roman" w:eastAsia="方正仿宋_GBK" w:cs="仿宋"/>
                <w:sz w:val="24"/>
                <w:szCs w:val="18"/>
              </w:rPr>
              <w:t>https://m.12371.gov.cn/app/template/displayTemplate/news/newsDetail/6364/487504.html</w:t>
            </w: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ascii="Times New Roman" w:hAnsi="Times New Roman" w:eastAsia="方正仿宋_GBK" w:cs="仿宋"/>
                <w:color w:val="467886" w:themeColor="hyperlink"/>
                <w:sz w:val="24"/>
                <w:szCs w:val="18"/>
                <w:u w:val="single"/>
                <w14:textFill>
                  <w14:solidFill>
                    <w14:schemeClr w14:val="hlink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753110</wp:posOffset>
                  </wp:positionH>
                  <wp:positionV relativeFrom="paragraph">
                    <wp:posOffset>140335</wp:posOffset>
                  </wp:positionV>
                  <wp:extent cx="719455" cy="719455"/>
                  <wp:effectExtent l="0" t="0" r="4445" b="4445"/>
                  <wp:wrapNone/>
                  <wp:docPr id="4647507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5072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方正仿宋_GBK" w:cs="仿宋"/>
                <w:color w:val="467886" w:themeColor="hyperlink"/>
                <w:sz w:val="24"/>
                <w:szCs w:val="18"/>
                <w:u w:val="single"/>
                <w14:textFill>
                  <w14:solidFill>
                    <w14:schemeClr w14:val="hlink"/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28575</wp:posOffset>
                  </wp:positionH>
                  <wp:positionV relativeFrom="paragraph">
                    <wp:posOffset>139700</wp:posOffset>
                  </wp:positionV>
                  <wp:extent cx="719455" cy="719455"/>
                  <wp:effectExtent l="0" t="0" r="4445" b="4445"/>
                  <wp:wrapNone/>
                  <wp:docPr id="5374264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42645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方正仿宋_GBK" w:cs="仿宋"/>
                <w:color w:val="467886" w:themeColor="hyperlink"/>
                <w:sz w:val="24"/>
                <w:szCs w:val="18"/>
                <w:u w:val="single"/>
                <w14:textFill>
                  <w14:solidFill>
                    <w14:schemeClr w14:val="hlink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139065</wp:posOffset>
                  </wp:positionV>
                  <wp:extent cx="719455" cy="719455"/>
                  <wp:effectExtent l="0" t="0" r="4445" b="4445"/>
                  <wp:wrapNone/>
                  <wp:docPr id="15555676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676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Style w:val="20"/>
                <w:rFonts w:ascii="Times New Roman" w:hAnsi="Times New Roman" w:eastAsia="方正仿宋_GBK" w:cs="仿宋"/>
                <w:sz w:val="24"/>
                <w:szCs w:val="18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仿宋"/>
                <w:color w:val="467886" w:themeColor="hyperlink"/>
                <w:sz w:val="24"/>
                <w:szCs w:val="18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是</w:t>
            </w:r>
            <w:r>
              <w:rPr>
                <w:rFonts w:hint="eastAsia" w:ascii="华文中宋" w:hAnsi="华文中宋" w:eastAsia="华文中宋"/>
                <w:sz w:val="28"/>
              </w:rPr>
              <w:t>□ 否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方正黑体_GBK" w:hAnsi="Times New Roman" w:eastAsia="方正黑体_GBK"/>
                <w:sz w:val="24"/>
                <w:szCs w:val="21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8"/>
              </w:rPr>
              <w:t>是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  <w:r>
              <w:rPr>
                <w:rFonts w:hint="eastAsia" w:ascii="华文中宋" w:hAnsi="华文中宋" w:eastAsia="华文中宋"/>
                <w:sz w:val="28"/>
              </w:rPr>
              <w:t xml:space="preserve"> 否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hint="eastAsia" w:ascii="华文中宋" w:hAnsi="华文中宋" w:eastAsia="华文中宋"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西藏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自治区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昌都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市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洛隆县革命烈士陵园安葬着173位为了西藏和平发展和人民幸福安康而牺牲的烈士。近年来，当地虽多方寻找，仍有百余位烈士未能和亲人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“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团聚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”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，其中包括49位重庆籍烈士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2024年11月起，中共重庆市委当代党员杂志社联合洛隆县发起“为49位重庆籍烈士寻亲”活动，历时月余为40余位烈士找到亲人。因部分烈士亲属祭扫心情迫切，加之部分烈士墓碑存在姓名、籍贯等基础信息差错，2025年3月至4月，当代党员杂志社寻亲报道组两次进藏，积极对接洛隆县民政和退役军人事务局，推动烈士墓碑信息更正工作，帮助烈士亲属赴洛隆祭扫。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在此期间，寻亲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报道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组按照行进式报道的思路，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以第一人称视角创制“进藏手记”系列作品，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及时记录并报道了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烈士墓碑错误信息更正和烈士亲属实地祭扫历程。</w:t>
            </w:r>
          </w:p>
          <w:p>
            <w:pPr>
              <w:spacing w:after="0"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系列手记以“为烈士寻亲”为情感和叙事锚点，通过5篇文稿和3条短视频，细腻呈现了藏族匠人一笔一划修正碑文的庄严、烈士家属半个多世纪后首次祭扫的悲欣交集、从故土携土撒于墓前的深情缅怀。作品将个体叙事与家国情怀相融合，在高原、碑林与泪光中，构建起连接历史与当下的情感桥梁，深刻诠释了红色基因的时代传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系列手记发布后引发广泛社会反响。一是转载范围极广。系列手记被人民日报客户端持续转载，后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被《当代党员》集纳刊载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后，又被新华网、人民网、央视网等120余家主流媒体转载，在清明节当天获各大商业门户网站首页置顶推荐。二是舆论引导有力。网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的“向烈士致敬”“英雄永垂不朽”等数千条评论在留言区列队刷屏，点赞数以万计，有效营造了崇尚英烈、缅怀先烈的浓厚氛围。三是实际成效显著。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随着作品的陆续发布，烈士墓碑修缮工作得到顺利推进，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不仅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10块重庆籍烈士墓碑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得到迅速修缮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还带动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当地对烈士陵园内的百余块信息有误的墓碑均进行了陆续修缮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，先后促成9位烈士的16名亲属实现赴藏祭扫心愿，达成了从新闻报道到价值创造的深度延伸。四是获得多方肯定。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不仅得到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重庆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市退役军人事务局、市委网信办等单位的普遍好评，一条短视频作品还入选市委宣传部月度“三好作品”，活动得到市委书记和市委常委、宣传部部长的肯定性批示。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741" w:type="dxa"/>
            <w:gridSpan w:val="5"/>
            <w:vMerge w:val="restart"/>
            <w:vAlign w:val="center"/>
          </w:tcPr>
          <w:p>
            <w:pPr>
              <w:spacing w:after="0" w:line="42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https://www.toutiao.com/article/7482241740766806579/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741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https://mp.weixin.qq.com/s/T6AeNUs5428ZKuZINUlsBA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741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7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https://v.douyin.com/c1BXET8s2pI/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11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500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300+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2.2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28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  <w:szCs w:val="28"/>
              </w:rPr>
              <w:t>该系列作品兼具历史厚度、情感温度与思想深度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一是政治站位高，将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党媒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的社会责任转化为具体行动，体现了主流媒体服务大局、担当使命的政治自觉。二是融合创新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好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，以记者手记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形式承载行进式报道的创新表达，文笔细腻、情感真挚，让读者在感动中铭记历史、在铭记中传承精神，实现了正能量与大流量的双向奔赴。三是社会价值实，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在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新闻报道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的基础上切实推进了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墓碑修缮、烈属祭扫等工作，展现了媒体从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“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内容生产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”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“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价值创造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”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的深度转型。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同意推荐。</w:t>
            </w:r>
          </w:p>
          <w:p>
            <w:pPr>
              <w:spacing w:after="0" w:line="28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8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签名：            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月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徐焱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023-63856943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18883266190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0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方正仿宋_GBK" w:hAnsi="Times New Roman" w:eastAsia="方正仿宋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重庆市两江新区食品城大道35号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7225081@qq.com</w:t>
            </w:r>
          </w:p>
        </w:tc>
      </w:tr>
    </w:tbl>
    <w:p>
      <w:pPr>
        <w:spacing w:after="0" w:line="260" w:lineRule="exact"/>
        <w:rPr>
          <w:rFonts w:ascii="Times New Roman" w:hAnsi="Times New Roman" w:eastAsia="方正仿宋_GBK" w:cs="仿宋"/>
          <w:sz w:val="24"/>
          <w:szCs w:val="18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重庆新闻奖系列报道作品完整目录</w:t>
      </w:r>
    </w:p>
    <w:p>
      <w:pPr>
        <w:pStyle w:val="2"/>
        <w:spacing w:after="0" w:line="400" w:lineRule="exact"/>
      </w:pPr>
    </w:p>
    <w:tbl>
      <w:tblPr>
        <w:tblStyle w:val="17"/>
        <w:tblW w:w="9542" w:type="dxa"/>
        <w:tblInd w:w="-12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2"/>
        <w:gridCol w:w="2488"/>
        <w:gridCol w:w="963"/>
        <w:gridCol w:w="1311"/>
        <w:gridCol w:w="1240"/>
        <w:gridCol w:w="996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单篇作品标题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进藏手记｜①昌都洛隆初见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999字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1分52秒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2025年3月14日10时6分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4" w:hRule="exact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进藏手记｜这是我们与西藏的初见，却不是为了诗和远方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1分52秒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2025年3月15日9时2分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进藏手记｜②山河褶皱里的红色印记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1252字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2025年3月16日11时15分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进藏手记｜中华民族一家亲或许就是一句“以后再来”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视频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1分15秒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2025年3月17日12时11分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进藏手记｜③一笔一划刻永恒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1650字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2025年3月20日22时50分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60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45"/>
              </w:tabs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进藏手记｜④绵延半个多世纪的思念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1346字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2分13秒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2025年3月25日19时42分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进藏手记｜⑤雪域春寒里的故土温度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1964字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2025年4月12日9时24分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七一客户端“进藏手记”专栏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pStyle w:val="2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D"/>
    <w:rsid w:val="000361FE"/>
    <w:rsid w:val="000448BD"/>
    <w:rsid w:val="000458E9"/>
    <w:rsid w:val="000A7BC7"/>
    <w:rsid w:val="00124643"/>
    <w:rsid w:val="001412C4"/>
    <w:rsid w:val="001A0894"/>
    <w:rsid w:val="001C3CD0"/>
    <w:rsid w:val="001C4469"/>
    <w:rsid w:val="00210B20"/>
    <w:rsid w:val="002114CD"/>
    <w:rsid w:val="002154BA"/>
    <w:rsid w:val="00227633"/>
    <w:rsid w:val="0024344A"/>
    <w:rsid w:val="0030068C"/>
    <w:rsid w:val="003A7997"/>
    <w:rsid w:val="00434A8B"/>
    <w:rsid w:val="00434F2F"/>
    <w:rsid w:val="00440417"/>
    <w:rsid w:val="00445390"/>
    <w:rsid w:val="004726DD"/>
    <w:rsid w:val="004945AA"/>
    <w:rsid w:val="004B6B7F"/>
    <w:rsid w:val="004C458F"/>
    <w:rsid w:val="004C6F30"/>
    <w:rsid w:val="004D1513"/>
    <w:rsid w:val="004E5391"/>
    <w:rsid w:val="00531E99"/>
    <w:rsid w:val="00533391"/>
    <w:rsid w:val="00540DD5"/>
    <w:rsid w:val="00561707"/>
    <w:rsid w:val="00570CC4"/>
    <w:rsid w:val="005A7525"/>
    <w:rsid w:val="005B7C85"/>
    <w:rsid w:val="005F72F2"/>
    <w:rsid w:val="00611DDC"/>
    <w:rsid w:val="00655579"/>
    <w:rsid w:val="006733B2"/>
    <w:rsid w:val="0068004B"/>
    <w:rsid w:val="00701A0E"/>
    <w:rsid w:val="007058E8"/>
    <w:rsid w:val="00707DCD"/>
    <w:rsid w:val="00711D3C"/>
    <w:rsid w:val="00747584"/>
    <w:rsid w:val="00773868"/>
    <w:rsid w:val="00773C9B"/>
    <w:rsid w:val="0078244B"/>
    <w:rsid w:val="007B731D"/>
    <w:rsid w:val="007C6F3B"/>
    <w:rsid w:val="007E5B94"/>
    <w:rsid w:val="007F6BEC"/>
    <w:rsid w:val="00801BFF"/>
    <w:rsid w:val="008311B3"/>
    <w:rsid w:val="008949A2"/>
    <w:rsid w:val="008D6FCD"/>
    <w:rsid w:val="008E0FE7"/>
    <w:rsid w:val="008F7B63"/>
    <w:rsid w:val="00936D1E"/>
    <w:rsid w:val="0096749D"/>
    <w:rsid w:val="009A4D63"/>
    <w:rsid w:val="009B351D"/>
    <w:rsid w:val="009E2B8D"/>
    <w:rsid w:val="00A143C9"/>
    <w:rsid w:val="00A224CD"/>
    <w:rsid w:val="00A26C38"/>
    <w:rsid w:val="00A87311"/>
    <w:rsid w:val="00AB056C"/>
    <w:rsid w:val="00AB3AF9"/>
    <w:rsid w:val="00AD6033"/>
    <w:rsid w:val="00AE28CB"/>
    <w:rsid w:val="00B03935"/>
    <w:rsid w:val="00B10B73"/>
    <w:rsid w:val="00B86079"/>
    <w:rsid w:val="00BB3660"/>
    <w:rsid w:val="00BC297E"/>
    <w:rsid w:val="00BC3E74"/>
    <w:rsid w:val="00BD4DF9"/>
    <w:rsid w:val="00BD65EC"/>
    <w:rsid w:val="00C00DA6"/>
    <w:rsid w:val="00C82C15"/>
    <w:rsid w:val="00CB0F92"/>
    <w:rsid w:val="00CB498A"/>
    <w:rsid w:val="00CD1B2F"/>
    <w:rsid w:val="00D35312"/>
    <w:rsid w:val="00D57626"/>
    <w:rsid w:val="00DE02D9"/>
    <w:rsid w:val="00E115D6"/>
    <w:rsid w:val="00E16393"/>
    <w:rsid w:val="00E32A18"/>
    <w:rsid w:val="00E40F76"/>
    <w:rsid w:val="00E615DF"/>
    <w:rsid w:val="00E65F53"/>
    <w:rsid w:val="00E76F06"/>
    <w:rsid w:val="00EB49B1"/>
    <w:rsid w:val="00ED3D8D"/>
    <w:rsid w:val="00F14B08"/>
    <w:rsid w:val="00F32746"/>
    <w:rsid w:val="00F81C9C"/>
    <w:rsid w:val="00F941FC"/>
    <w:rsid w:val="00FC4CE4"/>
    <w:rsid w:val="00FE0791"/>
    <w:rsid w:val="00FF2DBE"/>
    <w:rsid w:val="00FF6B09"/>
    <w:rsid w:val="1C5562E0"/>
    <w:rsid w:val="1FDA362A"/>
    <w:rsid w:val="442E606D"/>
    <w:rsid w:val="520509BC"/>
    <w:rsid w:val="5BFF322F"/>
    <w:rsid w:val="5DEF1038"/>
    <w:rsid w:val="5F4D334E"/>
    <w:rsid w:val="5FA36D8F"/>
    <w:rsid w:val="62CE111C"/>
    <w:rsid w:val="64E9276A"/>
    <w:rsid w:val="742C2243"/>
    <w:rsid w:val="7B7BD96A"/>
    <w:rsid w:val="7BA60871"/>
    <w:rsid w:val="E5EB673D"/>
    <w:rsid w:val="F7E736A2"/>
    <w:rsid w:val="FF6AC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9"/>
    <w:semiHidden/>
    <w:unhideWhenUsed/>
    <w:qFormat/>
    <w:uiPriority w:val="99"/>
    <w:pPr>
      <w:spacing w:after="120"/>
    </w:pPr>
  </w:style>
  <w:style w:type="paragraph" w:styleId="1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FollowedHyperlink"/>
    <w:basedOn w:val="1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8"/>
    <w:link w:val="2"/>
    <w:semiHidden/>
    <w:qFormat/>
    <w:uiPriority w:val="99"/>
    <w:rPr>
      <w:rFonts w:ascii="Calibri" w:hAnsi="Calibri" w:eastAsia="宋体" w:cs="黑体"/>
    </w:rPr>
  </w:style>
  <w:style w:type="character" w:customStyle="1" w:styleId="40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8"/>
    <w:link w:val="1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2">
    <w:name w:val="页脚 字符"/>
    <w:basedOn w:val="18"/>
    <w:link w:val="1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43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405</Words>
  <Characters>2315</Characters>
  <Lines>19</Lines>
  <Paragraphs>5</Paragraphs>
  <TotalTime>180</TotalTime>
  <ScaleCrop>false</ScaleCrop>
  <LinksUpToDate>false</LinksUpToDate>
  <CharactersWithSpaces>2715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2025-03-24T14:34:00Z</dcterms:created>
  <dc:creator>焱 徐</dc:creator>
  <cp:lastModifiedBy>cqdk10</cp:lastModifiedBy>
  <dcterms:modified xsi:type="dcterms:W3CDTF">2026-03-07T22:52:01Z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2324CDB177644DCE8F6D03C516B398D9</vt:lpwstr>
  </property>
</Properties>
</file>