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E971F0">
      <w:pPr>
        <w:spacing w:after="0" w:line="520" w:lineRule="exact"/>
        <w:jc w:val="center"/>
        <w:rPr>
          <w:rFonts w:ascii="Times New Roman" w:hAnsi="Times New Roman" w:eastAsia="方正小标宋_GBK" w:cs="方正小标宋_GBK"/>
          <w:sz w:val="44"/>
          <w:szCs w:val="44"/>
        </w:rPr>
      </w:pPr>
      <w:r>
        <w:rPr>
          <w:rFonts w:hint="eastAsia" w:ascii="Times New Roman" w:hAnsi="Times New Roman" w:eastAsia="方正小标宋_GBK" w:cs="方正小标宋_GBK"/>
          <w:sz w:val="44"/>
          <w:szCs w:val="44"/>
        </w:rPr>
        <w:t>重庆新闻奖新闻漫画参评作品推荐表</w:t>
      </w:r>
    </w:p>
    <w:p w14:paraId="37F0D610">
      <w:pPr>
        <w:spacing w:after="0" w:line="400" w:lineRule="exact"/>
        <w:jc w:val="center"/>
        <w:rPr>
          <w:rFonts w:ascii="Times New Roman" w:hAnsi="Times New Roman" w:eastAsia="华文中宋"/>
          <w:sz w:val="36"/>
          <w:szCs w:val="36"/>
        </w:rPr>
      </w:pPr>
    </w:p>
    <w:tbl>
      <w:tblPr>
        <w:tblStyle w:val="6"/>
        <w:tblW w:w="9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220"/>
        <w:gridCol w:w="512"/>
        <w:gridCol w:w="1017"/>
        <w:gridCol w:w="1136"/>
        <w:gridCol w:w="567"/>
        <w:gridCol w:w="541"/>
        <w:gridCol w:w="22"/>
        <w:gridCol w:w="395"/>
        <w:gridCol w:w="338"/>
        <w:gridCol w:w="1681"/>
        <w:gridCol w:w="925"/>
        <w:gridCol w:w="1473"/>
      </w:tblGrid>
      <w:tr w14:paraId="12A1CFF1">
        <w:trPr>
          <w:trHeight w:val="680" w:hRule="atLeast"/>
          <w:jc w:val="center"/>
        </w:trPr>
        <w:tc>
          <w:tcPr>
            <w:tcW w:w="1352" w:type="dxa"/>
            <w:gridSpan w:val="2"/>
            <w:vAlign w:val="center"/>
          </w:tcPr>
          <w:p w14:paraId="380B4E93">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标题</w:t>
            </w:r>
          </w:p>
        </w:tc>
        <w:tc>
          <w:tcPr>
            <w:tcW w:w="3773" w:type="dxa"/>
            <w:gridSpan w:val="5"/>
            <w:vAlign w:val="center"/>
          </w:tcPr>
          <w:p w14:paraId="1EB636C1">
            <w:pPr>
              <w:pStyle w:val="2"/>
              <w:widowControl/>
              <w:shd w:val="clear" w:color="auto" w:fill="FFFFFF"/>
              <w:spacing w:beforeAutospacing="0" w:after="140" w:afterAutospacing="0" w:line="14" w:lineRule="atLeast"/>
              <w:jc w:val="center"/>
              <w:rPr>
                <w:rFonts w:hint="default" w:ascii="Times New Roman" w:hAnsi="Times New Roman" w:eastAsia="方正黑体_GBK" w:cs="方正黑体_GBK"/>
                <w:sz w:val="28"/>
                <w:szCs w:val="28"/>
              </w:rPr>
            </w:pPr>
            <w:r>
              <w:rPr>
                <w:rFonts w:ascii="Times New Roman" w:hAnsi="Times New Roman" w:eastAsia="方正仿宋_GBK" w:cs="方正仿宋_GBK"/>
                <w:b w:val="0"/>
                <w:bCs w:val="0"/>
                <w:kern w:val="2"/>
                <w:sz w:val="24"/>
                <w:szCs w:val="24"/>
              </w:rPr>
              <w:t>漫说纪法｜①违规吃喝惹的祸</w:t>
            </w:r>
          </w:p>
        </w:tc>
        <w:tc>
          <w:tcPr>
            <w:tcW w:w="2436" w:type="dxa"/>
            <w:gridSpan w:val="4"/>
            <w:vAlign w:val="center"/>
          </w:tcPr>
          <w:p w14:paraId="59FE7504">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作品类别</w:t>
            </w:r>
          </w:p>
        </w:tc>
        <w:tc>
          <w:tcPr>
            <w:tcW w:w="2398" w:type="dxa"/>
            <w:gridSpan w:val="2"/>
            <w:vAlign w:val="center"/>
          </w:tcPr>
          <w:p w14:paraId="2ADD0AD3">
            <w:pPr>
              <w:spacing w:after="0" w:line="320" w:lineRule="exact"/>
              <w:jc w:val="center"/>
              <w:rPr>
                <w:rFonts w:ascii="Times New Roman" w:hAnsi="Times New Roman" w:eastAsia="方正仿宋_GBK" w:cs="方正仿宋_GBK"/>
                <w:sz w:val="24"/>
                <w:szCs w:val="24"/>
              </w:rPr>
            </w:pPr>
            <w:r>
              <w:rPr>
                <w:rFonts w:hint="eastAsia" w:ascii="Times New Roman" w:hAnsi="Times New Roman" w:eastAsia="方正仿宋_GBK" w:cs="方正仿宋_GBK"/>
                <w:sz w:val="24"/>
                <w:szCs w:val="24"/>
              </w:rPr>
              <w:t>新闻漫画组画</w:t>
            </w:r>
          </w:p>
          <w:p w14:paraId="0ED3231F">
            <w:pPr>
              <w:spacing w:after="0" w:line="320" w:lineRule="exact"/>
              <w:jc w:val="center"/>
              <w:rPr>
                <w:rFonts w:ascii="Times New Roman" w:hAnsi="Times New Roman" w:eastAsia="仿宋"/>
                <w:sz w:val="28"/>
              </w:rPr>
            </w:pPr>
            <w:r>
              <w:rPr>
                <w:rFonts w:hint="eastAsia" w:ascii="Times New Roman" w:hAnsi="Times New Roman" w:eastAsia="方正仿宋_GBK" w:cs="方正仿宋_GBK"/>
                <w:sz w:val="24"/>
                <w:szCs w:val="24"/>
              </w:rPr>
              <w:t>（长图）类</w:t>
            </w:r>
          </w:p>
        </w:tc>
      </w:tr>
      <w:tr w14:paraId="54BA0461">
        <w:trPr>
          <w:trHeight w:val="700" w:hRule="exact"/>
          <w:jc w:val="center"/>
        </w:trPr>
        <w:tc>
          <w:tcPr>
            <w:tcW w:w="1352" w:type="dxa"/>
            <w:gridSpan w:val="2"/>
            <w:vAlign w:val="center"/>
          </w:tcPr>
          <w:p w14:paraId="25E0EA3F">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作者</w:t>
            </w:r>
          </w:p>
        </w:tc>
        <w:tc>
          <w:tcPr>
            <w:tcW w:w="3773" w:type="dxa"/>
            <w:gridSpan w:val="5"/>
            <w:vAlign w:val="center"/>
          </w:tcPr>
          <w:p w14:paraId="021BFDBF">
            <w:pPr>
              <w:pStyle w:val="2"/>
              <w:widowControl/>
              <w:shd w:val="clear" w:color="auto" w:fill="FFFFFF"/>
              <w:spacing w:beforeAutospacing="0" w:after="140" w:afterAutospacing="0" w:line="14" w:lineRule="atLeast"/>
              <w:jc w:val="center"/>
              <w:rPr>
                <w:rFonts w:hint="default" w:ascii="Times New Roman" w:hAnsi="Times New Roman" w:eastAsia="方正黑体_GBK" w:cs="方正黑体_GBK"/>
                <w:szCs w:val="21"/>
              </w:rPr>
            </w:pPr>
            <w:r>
              <w:rPr>
                <w:rFonts w:ascii="Times New Roman" w:hAnsi="Times New Roman" w:eastAsia="方正仿宋_GBK" w:cs="方正仿宋_GBK"/>
                <w:b w:val="0"/>
                <w:bCs w:val="0"/>
                <w:kern w:val="2"/>
                <w:sz w:val="24"/>
                <w:szCs w:val="24"/>
              </w:rPr>
              <w:t>刘露</w:t>
            </w:r>
            <w:r>
              <w:rPr>
                <w:rFonts w:hint="eastAsia" w:ascii="Times New Roman" w:hAnsi="Times New Roman" w:eastAsia="方正仿宋_GBK" w:cs="方正仿宋_GBK"/>
                <w:b w:val="0"/>
                <w:bCs w:val="0"/>
                <w:kern w:val="2"/>
                <w:sz w:val="24"/>
                <w:szCs w:val="24"/>
                <w:lang w:eastAsia="zh-CN"/>
              </w:rPr>
              <w:t>、</w:t>
            </w:r>
            <w:r>
              <w:rPr>
                <w:rFonts w:ascii="Times New Roman" w:hAnsi="Times New Roman" w:eastAsia="方正仿宋_GBK" w:cs="方正仿宋_GBK"/>
                <w:b w:val="0"/>
                <w:bCs w:val="0"/>
                <w:kern w:val="2"/>
                <w:sz w:val="24"/>
                <w:szCs w:val="24"/>
              </w:rPr>
              <w:t>赵真</w:t>
            </w:r>
            <w:r>
              <w:rPr>
                <w:rFonts w:hint="eastAsia" w:ascii="Times New Roman" w:hAnsi="Times New Roman" w:eastAsia="方正仿宋_GBK" w:cs="方正仿宋_GBK"/>
                <w:b w:val="0"/>
                <w:bCs w:val="0"/>
                <w:kern w:val="2"/>
                <w:sz w:val="24"/>
                <w:szCs w:val="24"/>
                <w:lang w:eastAsia="zh-CN"/>
              </w:rPr>
              <w:t>、</w:t>
            </w:r>
            <w:r>
              <w:rPr>
                <w:rFonts w:ascii="Times New Roman" w:hAnsi="Times New Roman" w:eastAsia="方正仿宋_GBK" w:cs="方正仿宋_GBK"/>
                <w:b w:val="0"/>
                <w:bCs w:val="0"/>
                <w:kern w:val="2"/>
                <w:sz w:val="24"/>
                <w:szCs w:val="24"/>
              </w:rPr>
              <w:t>曾自然</w:t>
            </w:r>
          </w:p>
        </w:tc>
        <w:tc>
          <w:tcPr>
            <w:tcW w:w="2436" w:type="dxa"/>
            <w:gridSpan w:val="4"/>
            <w:vAlign w:val="center"/>
          </w:tcPr>
          <w:p w14:paraId="56811CFC">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编辑</w:t>
            </w:r>
          </w:p>
        </w:tc>
        <w:tc>
          <w:tcPr>
            <w:tcW w:w="2398" w:type="dxa"/>
            <w:gridSpan w:val="2"/>
            <w:vAlign w:val="center"/>
          </w:tcPr>
          <w:p w14:paraId="32B30581">
            <w:pPr>
              <w:pStyle w:val="2"/>
              <w:keepNext w:val="0"/>
              <w:keepLines w:val="0"/>
              <w:pageBreakBefore w:val="0"/>
              <w:widowControl/>
              <w:shd w:val="clear" w:color="auto" w:fill="FFFFFF"/>
              <w:kinsoku/>
              <w:wordWrap/>
              <w:overflowPunct/>
              <w:topLinePunct w:val="0"/>
              <w:autoSpaceDE/>
              <w:autoSpaceDN/>
              <w:bidi w:val="0"/>
              <w:adjustRightInd/>
              <w:snapToGrid/>
              <w:spacing w:beforeAutospacing="0" w:after="0" w:afterAutospacing="0" w:line="240" w:lineRule="exact"/>
              <w:jc w:val="center"/>
              <w:textAlignment w:val="auto"/>
              <w:rPr>
                <w:rFonts w:hint="eastAsia" w:ascii="Times New Roman" w:hAnsi="Times New Roman" w:eastAsia="方正仿宋_GBK" w:cs="方正仿宋_GBK"/>
                <w:b w:val="0"/>
                <w:bCs w:val="0"/>
                <w:kern w:val="2"/>
                <w:sz w:val="24"/>
                <w:szCs w:val="24"/>
                <w:lang w:eastAsia="zh-CN"/>
              </w:rPr>
            </w:pPr>
            <w:r>
              <w:rPr>
                <w:rFonts w:ascii="Times New Roman" w:hAnsi="Times New Roman" w:eastAsia="方正仿宋_GBK" w:cs="方正仿宋_GBK"/>
                <w:b w:val="0"/>
                <w:bCs w:val="0"/>
                <w:kern w:val="2"/>
                <w:sz w:val="24"/>
                <w:szCs w:val="24"/>
              </w:rPr>
              <w:t>徐焱</w:t>
            </w:r>
            <w:r>
              <w:rPr>
                <w:rFonts w:hint="eastAsia" w:ascii="Times New Roman" w:hAnsi="Times New Roman" w:eastAsia="方正仿宋_GBK" w:cs="方正仿宋_GBK"/>
                <w:b w:val="0"/>
                <w:bCs w:val="0"/>
                <w:kern w:val="2"/>
                <w:sz w:val="24"/>
                <w:szCs w:val="24"/>
                <w:lang w:eastAsia="zh-CN"/>
              </w:rPr>
              <w:t>、</w:t>
            </w:r>
            <w:r>
              <w:rPr>
                <w:rFonts w:ascii="Times New Roman" w:hAnsi="Times New Roman" w:eastAsia="方正仿宋_GBK" w:cs="方正仿宋_GBK"/>
                <w:b w:val="0"/>
                <w:bCs w:val="0"/>
                <w:kern w:val="2"/>
                <w:sz w:val="24"/>
                <w:szCs w:val="24"/>
              </w:rPr>
              <w:t>周神青</w:t>
            </w:r>
            <w:r>
              <w:rPr>
                <w:rFonts w:hint="eastAsia" w:ascii="Times New Roman" w:hAnsi="Times New Roman" w:eastAsia="方正仿宋_GBK" w:cs="方正仿宋_GBK"/>
                <w:b w:val="0"/>
                <w:bCs w:val="0"/>
                <w:kern w:val="2"/>
                <w:sz w:val="24"/>
                <w:szCs w:val="24"/>
                <w:lang w:eastAsia="zh-CN"/>
              </w:rPr>
              <w:t>、</w:t>
            </w:r>
          </w:p>
          <w:p w14:paraId="2D3108E9">
            <w:pPr>
              <w:pStyle w:val="2"/>
              <w:keepNext w:val="0"/>
              <w:keepLines w:val="0"/>
              <w:pageBreakBefore w:val="0"/>
              <w:widowControl/>
              <w:shd w:val="clear" w:color="auto" w:fill="FFFFFF"/>
              <w:kinsoku/>
              <w:wordWrap/>
              <w:overflowPunct/>
              <w:topLinePunct w:val="0"/>
              <w:autoSpaceDE/>
              <w:autoSpaceDN/>
              <w:bidi w:val="0"/>
              <w:adjustRightInd/>
              <w:snapToGrid/>
              <w:spacing w:beforeAutospacing="0" w:after="0" w:afterAutospacing="0" w:line="240" w:lineRule="exact"/>
              <w:jc w:val="center"/>
              <w:textAlignment w:val="auto"/>
              <w:rPr>
                <w:rFonts w:hint="eastAsia" w:ascii="Times New Roman" w:hAnsi="Times New Roman" w:eastAsia="方正仿宋_GBK"/>
                <w:sz w:val="28"/>
                <w:szCs w:val="28"/>
                <w:lang w:eastAsia="zh-CN"/>
              </w:rPr>
            </w:pPr>
            <w:r>
              <w:rPr>
                <w:rFonts w:ascii="Times New Roman" w:hAnsi="Times New Roman" w:eastAsia="方正仿宋_GBK" w:cs="方正仿宋_GBK"/>
                <w:b w:val="0"/>
                <w:bCs w:val="0"/>
                <w:kern w:val="2"/>
                <w:sz w:val="24"/>
                <w:szCs w:val="24"/>
              </w:rPr>
              <w:t>陈一</w:t>
            </w:r>
            <w:r>
              <w:rPr>
                <w:rFonts w:hint="eastAsia" w:ascii="Times New Roman" w:hAnsi="Times New Roman" w:eastAsia="方正仿宋_GBK" w:cs="方正仿宋_GBK"/>
                <w:b w:val="0"/>
                <w:bCs w:val="0"/>
                <w:kern w:val="2"/>
                <w:sz w:val="24"/>
                <w:szCs w:val="24"/>
                <w:lang w:eastAsia="zh-CN"/>
              </w:rPr>
              <w:t>豪</w:t>
            </w:r>
          </w:p>
        </w:tc>
      </w:tr>
      <w:tr w14:paraId="247BBF4E">
        <w:trPr>
          <w:trHeight w:val="709" w:hRule="exact"/>
          <w:jc w:val="center"/>
        </w:trPr>
        <w:tc>
          <w:tcPr>
            <w:tcW w:w="1352" w:type="dxa"/>
            <w:gridSpan w:val="2"/>
            <w:vAlign w:val="center"/>
          </w:tcPr>
          <w:p w14:paraId="6F135DE6">
            <w:pPr>
              <w:spacing w:after="0" w:line="400" w:lineRule="exact"/>
              <w:jc w:val="center"/>
              <w:rPr>
                <w:rFonts w:ascii="Times New Roman" w:hAnsi="Times New Roman" w:eastAsia="方正黑体_GBK" w:cs="方正黑体_GBK"/>
                <w:b/>
                <w:sz w:val="28"/>
                <w:szCs w:val="28"/>
              </w:rPr>
            </w:pPr>
            <w:r>
              <w:rPr>
                <w:rFonts w:hint="eastAsia" w:ascii="Times New Roman" w:hAnsi="Times New Roman" w:eastAsia="方正黑体_GBK" w:cs="方正黑体_GBK"/>
                <w:sz w:val="28"/>
                <w:szCs w:val="20"/>
              </w:rPr>
              <w:t>原创单位</w:t>
            </w:r>
          </w:p>
        </w:tc>
        <w:tc>
          <w:tcPr>
            <w:tcW w:w="3773" w:type="dxa"/>
            <w:gridSpan w:val="5"/>
            <w:vAlign w:val="center"/>
          </w:tcPr>
          <w:p w14:paraId="2FF2C277">
            <w:pPr>
              <w:spacing w:after="0" w:line="260" w:lineRule="exact"/>
              <w:jc w:val="center"/>
              <w:rPr>
                <w:rFonts w:ascii="Times New Roman" w:hAnsi="Times New Roman" w:eastAsia="方正黑体_GBK" w:cs="方正黑体_GBK"/>
                <w:szCs w:val="21"/>
              </w:rPr>
            </w:pPr>
            <w:r>
              <w:rPr>
                <w:rFonts w:hint="eastAsia" w:ascii="Times New Roman" w:hAnsi="Times New Roman" w:eastAsia="方正仿宋_GBK" w:cs="方正仿宋_GBK"/>
                <w:sz w:val="24"/>
                <w:szCs w:val="24"/>
              </w:rPr>
              <w:t>中共重庆市委当代党员杂志社</w:t>
            </w:r>
          </w:p>
        </w:tc>
        <w:tc>
          <w:tcPr>
            <w:tcW w:w="2436" w:type="dxa"/>
            <w:gridSpan w:val="4"/>
            <w:vAlign w:val="center"/>
          </w:tcPr>
          <w:p w14:paraId="10C0D3BF">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刊播日期</w:t>
            </w:r>
          </w:p>
        </w:tc>
        <w:tc>
          <w:tcPr>
            <w:tcW w:w="2398" w:type="dxa"/>
            <w:gridSpan w:val="2"/>
            <w:vAlign w:val="center"/>
          </w:tcPr>
          <w:p w14:paraId="463303D0">
            <w:pPr>
              <w:spacing w:after="0" w:line="400" w:lineRule="exact"/>
              <w:jc w:val="center"/>
              <w:rPr>
                <w:rFonts w:ascii="Times New Roman" w:hAnsi="Times New Roman" w:eastAsia="方正仿宋_GBK" w:cs="Times New Roman"/>
                <w:sz w:val="24"/>
              </w:rPr>
            </w:pPr>
            <w:r>
              <w:rPr>
                <w:rFonts w:ascii="Times New Roman" w:hAnsi="Times New Roman" w:eastAsia="方正仿宋_GBK" w:cs="Times New Roman"/>
                <w:sz w:val="24"/>
              </w:rPr>
              <w:t>202</w:t>
            </w:r>
            <w:r>
              <w:rPr>
                <w:rFonts w:hint="eastAsia" w:ascii="Times New Roman" w:hAnsi="Times New Roman" w:eastAsia="方正仿宋_GBK" w:cs="Times New Roman"/>
                <w:sz w:val="24"/>
              </w:rPr>
              <w:t>5</w:t>
            </w:r>
            <w:r>
              <w:rPr>
                <w:rFonts w:ascii="Times New Roman" w:hAnsi="Times New Roman" w:eastAsia="方正仿宋_GBK" w:cs="Times New Roman"/>
                <w:sz w:val="24"/>
              </w:rPr>
              <w:t>年</w:t>
            </w:r>
            <w:r>
              <w:rPr>
                <w:rFonts w:hint="eastAsia" w:ascii="Times New Roman" w:hAnsi="Times New Roman" w:eastAsia="方正仿宋_GBK" w:cs="Times New Roman"/>
                <w:sz w:val="24"/>
              </w:rPr>
              <w:t>5</w:t>
            </w:r>
            <w:r>
              <w:rPr>
                <w:rFonts w:ascii="Times New Roman" w:hAnsi="Times New Roman" w:eastAsia="方正仿宋_GBK" w:cs="Times New Roman"/>
                <w:sz w:val="24"/>
              </w:rPr>
              <w:t>月</w:t>
            </w:r>
            <w:r>
              <w:rPr>
                <w:rFonts w:hint="eastAsia" w:ascii="Times New Roman" w:hAnsi="Times New Roman" w:eastAsia="方正仿宋_GBK" w:cs="Times New Roman"/>
                <w:sz w:val="24"/>
              </w:rPr>
              <w:t>26</w:t>
            </w:r>
            <w:r>
              <w:rPr>
                <w:rFonts w:ascii="Times New Roman" w:hAnsi="Times New Roman" w:eastAsia="方正仿宋_GBK" w:cs="Times New Roman"/>
                <w:sz w:val="24"/>
              </w:rPr>
              <w:t>日</w:t>
            </w:r>
          </w:p>
        </w:tc>
      </w:tr>
      <w:tr w14:paraId="1DF4B625">
        <w:trPr>
          <w:trHeight w:val="1316" w:hRule="exact"/>
          <w:jc w:val="center"/>
        </w:trPr>
        <w:tc>
          <w:tcPr>
            <w:tcW w:w="1864" w:type="dxa"/>
            <w:gridSpan w:val="3"/>
            <w:vAlign w:val="center"/>
          </w:tcPr>
          <w:p w14:paraId="354C0659">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所配合的文字报道的标题</w:t>
            </w:r>
          </w:p>
        </w:tc>
        <w:tc>
          <w:tcPr>
            <w:tcW w:w="3261" w:type="dxa"/>
            <w:gridSpan w:val="4"/>
            <w:vAlign w:val="center"/>
          </w:tcPr>
          <w:p w14:paraId="47CEBC99">
            <w:pPr>
              <w:snapToGrid w:val="0"/>
              <w:spacing w:after="0"/>
              <w:jc w:val="center"/>
              <w:rPr>
                <w:rFonts w:ascii="Times New Roman" w:hAnsi="Times New Roman" w:eastAsia="仿宋_GB2312"/>
                <w:sz w:val="28"/>
                <w:szCs w:val="28"/>
              </w:rPr>
            </w:pPr>
          </w:p>
        </w:tc>
        <w:tc>
          <w:tcPr>
            <w:tcW w:w="2436" w:type="dxa"/>
            <w:gridSpan w:val="4"/>
            <w:vAlign w:val="center"/>
          </w:tcPr>
          <w:p w14:paraId="7C4EA70B">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刊发版面</w:t>
            </w:r>
          </w:p>
          <w:p w14:paraId="289AB88A">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(发布端/账号/版次)</w:t>
            </w:r>
          </w:p>
        </w:tc>
        <w:tc>
          <w:tcPr>
            <w:tcW w:w="2398" w:type="dxa"/>
            <w:gridSpan w:val="2"/>
            <w:vAlign w:val="center"/>
          </w:tcPr>
          <w:p w14:paraId="26740E80">
            <w:pPr>
              <w:snapToGrid w:val="0"/>
              <w:spacing w:after="0" w:line="320" w:lineRule="exact"/>
              <w:jc w:val="center"/>
              <w:rPr>
                <w:rFonts w:ascii="Times New Roman" w:hAnsi="Times New Roman" w:eastAsia="仿宋_GB2312"/>
                <w:sz w:val="28"/>
                <w:szCs w:val="28"/>
              </w:rPr>
            </w:pPr>
            <w:r>
              <w:rPr>
                <w:rFonts w:hint="eastAsia" w:ascii="Times New Roman" w:hAnsi="Times New Roman" w:eastAsia="方正仿宋_GBK" w:cs="方正仿宋_GBK"/>
                <w:sz w:val="24"/>
                <w:szCs w:val="24"/>
              </w:rPr>
              <w:t>七一客户端、“党建头条”微信公众号、“风正巴渝”微信公众号</w:t>
            </w:r>
          </w:p>
        </w:tc>
      </w:tr>
      <w:tr w14:paraId="367ABE75">
        <w:trPr>
          <w:trHeight w:val="672" w:hRule="atLeast"/>
          <w:jc w:val="center"/>
        </w:trPr>
        <w:tc>
          <w:tcPr>
            <w:tcW w:w="1864" w:type="dxa"/>
            <w:gridSpan w:val="3"/>
            <w:vMerge w:val="restart"/>
            <w:vAlign w:val="center"/>
          </w:tcPr>
          <w:p w14:paraId="11B4488B">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新媒体</w:t>
            </w:r>
          </w:p>
          <w:p w14:paraId="66B6649F">
            <w:pPr>
              <w:spacing w:after="0" w:line="300" w:lineRule="exact"/>
              <w:jc w:val="center"/>
              <w:rPr>
                <w:rFonts w:ascii="Times New Roman" w:hAnsi="Times New Roman" w:eastAsia="方正黑体_GBK" w:cs="方正黑体_GBK"/>
                <w:sz w:val="24"/>
              </w:rPr>
            </w:pPr>
            <w:r>
              <w:rPr>
                <w:rFonts w:hint="eastAsia" w:ascii="Times New Roman" w:hAnsi="Times New Roman" w:eastAsia="方正黑体_GBK" w:cs="方正黑体_GBK"/>
                <w:sz w:val="24"/>
              </w:rPr>
              <w:t>作品网址</w:t>
            </w:r>
          </w:p>
        </w:tc>
        <w:tc>
          <w:tcPr>
            <w:tcW w:w="3283" w:type="dxa"/>
            <w:gridSpan w:val="5"/>
            <w:vMerge w:val="restart"/>
            <w:vAlign w:val="center"/>
          </w:tcPr>
          <w:p w14:paraId="2FC129CB">
            <w:pPr>
              <w:spacing w:after="0"/>
              <w:jc w:val="left"/>
              <w:rPr>
                <w:rFonts w:ascii="Times New Roman" w:hAnsi="Times New Roman" w:eastAsia="仿宋"/>
                <w:szCs w:val="21"/>
              </w:rPr>
            </w:pPr>
            <w:r>
              <w:rPr>
                <w:rFonts w:ascii="Times New Roman" w:hAnsi="Times New Roman"/>
              </w:rPr>
              <w:fldChar w:fldCharType="begin"/>
            </w:r>
            <w:r>
              <w:rPr>
                <w:rFonts w:ascii="Times New Roman" w:hAnsi="Times New Roman"/>
              </w:rPr>
              <w:instrText xml:space="preserve"> HYPERLINK "https://m.12371.gov.cn/app/template/displayTemplate/news/newsDetail/2001/491947.html?isView=true" </w:instrText>
            </w:r>
            <w:r>
              <w:rPr>
                <w:rFonts w:ascii="Times New Roman" w:hAnsi="Times New Roman"/>
              </w:rPr>
              <w:fldChar w:fldCharType="separate"/>
            </w:r>
            <w:r>
              <w:rPr>
                <w:rFonts w:hint="eastAsia" w:ascii="Times New Roman" w:hAnsi="Times New Roman" w:eastAsia="仿宋"/>
                <w:szCs w:val="21"/>
              </w:rPr>
              <w:t>https://m.12371.gov.cn/app/template/displayTemplate/news/newsDetail/2001/491947.html?isView=true</w:t>
            </w:r>
            <w:r>
              <w:rPr>
                <w:rFonts w:hint="eastAsia" w:ascii="Times New Roman" w:hAnsi="Times New Roman" w:eastAsia="仿宋"/>
                <w:szCs w:val="21"/>
              </w:rPr>
              <w:fldChar w:fldCharType="end"/>
            </w:r>
          </w:p>
          <w:p w14:paraId="04776F7D">
            <w:pPr>
              <w:spacing w:after="0"/>
              <w:jc w:val="center"/>
              <w:rPr>
                <w:rFonts w:ascii="Times New Roman" w:hAnsi="Times New Roman" w:eastAsia="仿宋"/>
                <w:szCs w:val="21"/>
              </w:rPr>
            </w:pPr>
            <w:r>
              <w:rPr>
                <w:rFonts w:hint="eastAsia" w:ascii="Times New Roman" w:hAnsi="Times New Roman" w:eastAsia="仿宋"/>
                <w:szCs w:val="21"/>
              </w:rPr>
              <w:drawing>
                <wp:inline distT="0" distB="0" distL="114300" distR="114300">
                  <wp:extent cx="1469390" cy="1469390"/>
                  <wp:effectExtent l="0" t="0" r="16510" b="16510"/>
                  <wp:docPr id="1" name="图片 1" descr="qr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rCode"/>
                          <pic:cNvPicPr>
                            <a:picLocks noChangeAspect="1"/>
                          </pic:cNvPicPr>
                        </pic:nvPicPr>
                        <pic:blipFill>
                          <a:blip r:embed="rId6"/>
                          <a:stretch>
                            <a:fillRect/>
                          </a:stretch>
                        </pic:blipFill>
                        <pic:spPr>
                          <a:xfrm>
                            <a:off x="0" y="0"/>
                            <a:ext cx="1469390" cy="1469390"/>
                          </a:xfrm>
                          <a:prstGeom prst="rect">
                            <a:avLst/>
                          </a:prstGeom>
                        </pic:spPr>
                      </pic:pic>
                    </a:graphicData>
                  </a:graphic>
                </wp:inline>
              </w:drawing>
            </w:r>
          </w:p>
        </w:tc>
        <w:tc>
          <w:tcPr>
            <w:tcW w:w="4812" w:type="dxa"/>
            <w:gridSpan w:val="5"/>
            <w:vAlign w:val="center"/>
          </w:tcPr>
          <w:p w14:paraId="1EF96A16">
            <w:pPr>
              <w:spacing w:after="0" w:line="320" w:lineRule="exact"/>
              <w:jc w:val="left"/>
              <w:rPr>
                <w:rFonts w:ascii="Times New Roman" w:hAnsi="Times New Roman" w:eastAsia="方正黑体_GBK"/>
                <w:sz w:val="22"/>
              </w:rPr>
            </w:pPr>
            <w:r>
              <w:rPr>
                <w:rFonts w:hint="eastAsia" w:ascii="Times New Roman" w:hAnsi="Times New Roman" w:eastAsia="方正黑体_GBK"/>
                <w:sz w:val="22"/>
              </w:rPr>
              <w:t>中央宣传部“三好作品”    是□ 否☑</w:t>
            </w:r>
          </w:p>
        </w:tc>
      </w:tr>
      <w:tr w14:paraId="65B22AC1">
        <w:trPr>
          <w:trHeight w:val="2906" w:hRule="exact"/>
          <w:jc w:val="center"/>
        </w:trPr>
        <w:tc>
          <w:tcPr>
            <w:tcW w:w="1864" w:type="dxa"/>
            <w:gridSpan w:val="3"/>
            <w:vMerge w:val="continue"/>
            <w:vAlign w:val="center"/>
          </w:tcPr>
          <w:p w14:paraId="417C8597">
            <w:pPr>
              <w:spacing w:after="0" w:line="300" w:lineRule="exact"/>
              <w:jc w:val="center"/>
              <w:rPr>
                <w:rFonts w:ascii="Times New Roman" w:hAnsi="Times New Roman" w:eastAsia="方正黑体_GBK" w:cs="方正黑体_GBK"/>
                <w:sz w:val="24"/>
              </w:rPr>
            </w:pPr>
          </w:p>
        </w:tc>
        <w:tc>
          <w:tcPr>
            <w:tcW w:w="3283" w:type="dxa"/>
            <w:gridSpan w:val="5"/>
            <w:vMerge w:val="continue"/>
            <w:vAlign w:val="center"/>
          </w:tcPr>
          <w:p w14:paraId="350173B8">
            <w:pPr>
              <w:spacing w:after="0"/>
              <w:jc w:val="left"/>
              <w:rPr>
                <w:rFonts w:ascii="Times New Roman" w:hAnsi="Times New Roman" w:eastAsia="仿宋"/>
                <w:szCs w:val="21"/>
              </w:rPr>
            </w:pPr>
          </w:p>
        </w:tc>
        <w:tc>
          <w:tcPr>
            <w:tcW w:w="4812" w:type="dxa"/>
            <w:gridSpan w:val="5"/>
            <w:vAlign w:val="center"/>
          </w:tcPr>
          <w:p w14:paraId="6E0DA7E5">
            <w:pPr>
              <w:spacing w:after="0" w:line="320" w:lineRule="exact"/>
              <w:jc w:val="left"/>
              <w:rPr>
                <w:rFonts w:ascii="Times New Roman" w:hAnsi="Times New Roman" w:eastAsia="方正黑体_GBK"/>
                <w:sz w:val="22"/>
              </w:rPr>
            </w:pPr>
            <w:r>
              <w:rPr>
                <w:rFonts w:hint="eastAsia" w:ascii="Times New Roman" w:hAnsi="Times New Roman" w:eastAsia="方正黑体_GBK"/>
                <w:sz w:val="22"/>
              </w:rPr>
              <w:t>市委宣传部“三好作品”    是☑ 否□</w:t>
            </w:r>
          </w:p>
        </w:tc>
      </w:tr>
      <w:tr w14:paraId="7E06876F">
        <w:trPr>
          <w:cantSplit/>
          <w:trHeight w:val="3401" w:hRule="exact"/>
          <w:jc w:val="center"/>
        </w:trPr>
        <w:tc>
          <w:tcPr>
            <w:tcW w:w="1132" w:type="dxa"/>
            <w:textDirection w:val="tbRlV"/>
            <w:vAlign w:val="center"/>
          </w:tcPr>
          <w:p w14:paraId="210BB137">
            <w:pPr>
              <w:spacing w:after="0" w:line="320" w:lineRule="exact"/>
              <w:jc w:val="center"/>
              <w:rPr>
                <w:rFonts w:ascii="Times New Roman" w:hAnsi="Times New Roman" w:eastAsia="方正黑体_GBK" w:cs="方正黑体_GBK"/>
                <w:b/>
                <w:sz w:val="28"/>
                <w:szCs w:val="28"/>
              </w:rPr>
            </w:pPr>
            <w:r>
              <w:rPr>
                <w:rFonts w:hint="eastAsia" w:ascii="Times New Roman" w:hAnsi="Times New Roman" w:eastAsia="方正黑体_GBK" w:cs="方正黑体_GBK"/>
                <w:sz w:val="28"/>
                <w:szCs w:val="20"/>
              </w:rPr>
              <w:t>作品简介</w:t>
            </w:r>
          </w:p>
        </w:tc>
        <w:tc>
          <w:tcPr>
            <w:tcW w:w="8827" w:type="dxa"/>
            <w:gridSpan w:val="12"/>
            <w:vAlign w:val="center"/>
          </w:tcPr>
          <w:p w14:paraId="69C92513">
            <w:pPr>
              <w:spacing w:after="0" w:line="360" w:lineRule="exact"/>
              <w:ind w:firstLine="480" w:firstLineChars="200"/>
              <w:jc w:val="left"/>
              <w:rPr>
                <w:rFonts w:ascii="Times New Roman" w:hAnsi="Times New Roman" w:eastAsia="方正仿宋_GBK" w:cs="方正仿宋_GBK"/>
                <w:sz w:val="24"/>
                <w:szCs w:val="24"/>
              </w:rPr>
            </w:pPr>
            <w:r>
              <w:rPr>
                <w:rFonts w:hint="eastAsia" w:ascii="Times New Roman" w:hAnsi="Times New Roman" w:eastAsia="方正仿宋_GBK" w:cs="方正仿宋_GBK"/>
                <w:sz w:val="24"/>
                <w:szCs w:val="24"/>
              </w:rPr>
              <w:t>《漫说纪法》是主流媒体探索“硬核题材轻量化传播”的先锋尝试。该作品紧扣中央八项规定精神，通过“交互漫画”这一媒介新形态，精准捕捉违规吃喝中“吃公函”等典型的隐形变异现象。</w:t>
            </w:r>
          </w:p>
          <w:p w14:paraId="2DD5385C">
            <w:pPr>
              <w:spacing w:after="0" w:line="360" w:lineRule="exact"/>
              <w:ind w:firstLine="480" w:firstLineChars="200"/>
              <w:jc w:val="left"/>
              <w:rPr>
                <w:rFonts w:ascii="Times New Roman" w:hAnsi="Times New Roman" w:eastAsia="仿宋"/>
                <w:szCs w:val="21"/>
              </w:rPr>
            </w:pPr>
            <w:r>
              <w:rPr>
                <w:rFonts w:hint="eastAsia" w:ascii="Times New Roman" w:hAnsi="Times New Roman" w:eastAsia="方正仿宋_GBK" w:cs="方正仿宋_GBK"/>
                <w:sz w:val="24"/>
                <w:szCs w:val="24"/>
              </w:rPr>
              <w:t>创作中，作品拒绝生硬说教，采用互动叙事逻辑，通过SVG交互动画模拟财务审计发现猫腻的过程，并预埋纪法知识点，引导读者自主探索“隐形四风”的真相。这种“案例复盘+纪法百科+交互体验”的融合表达，不仅极大地提升了党纪宣教的吸引力，更通过高频的社交转发，构建起移动端“随时随地、即点即学”的廉洁文化新阵地。</w:t>
            </w:r>
          </w:p>
        </w:tc>
      </w:tr>
      <w:tr w14:paraId="10BAF1EC">
        <w:trPr>
          <w:trHeight w:val="2988" w:hRule="exact"/>
          <w:jc w:val="center"/>
        </w:trPr>
        <w:tc>
          <w:tcPr>
            <w:tcW w:w="1132" w:type="dxa"/>
            <w:vAlign w:val="center"/>
          </w:tcPr>
          <w:p w14:paraId="5A67E703">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社</w:t>
            </w:r>
          </w:p>
          <w:p w14:paraId="0751DFCC">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会</w:t>
            </w:r>
          </w:p>
          <w:p w14:paraId="7979EFB7">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效</w:t>
            </w:r>
          </w:p>
          <w:p w14:paraId="0C7557BA">
            <w:pPr>
              <w:spacing w:after="0" w:line="320" w:lineRule="exact"/>
              <w:jc w:val="center"/>
              <w:rPr>
                <w:rFonts w:ascii="Times New Roman" w:hAnsi="Times New Roman" w:eastAsia="方正黑体_GBK" w:cs="方正黑体_GBK"/>
                <w:sz w:val="28"/>
                <w:szCs w:val="28"/>
              </w:rPr>
            </w:pPr>
            <w:r>
              <w:rPr>
                <w:rFonts w:hint="eastAsia" w:ascii="Times New Roman" w:hAnsi="Times New Roman" w:eastAsia="方正黑体_GBK" w:cs="方正黑体_GBK"/>
                <w:sz w:val="28"/>
                <w:szCs w:val="20"/>
              </w:rPr>
              <w:t>果</w:t>
            </w:r>
          </w:p>
        </w:tc>
        <w:tc>
          <w:tcPr>
            <w:tcW w:w="8827" w:type="dxa"/>
            <w:gridSpan w:val="12"/>
            <w:vAlign w:val="center"/>
          </w:tcPr>
          <w:p w14:paraId="7BC75916">
            <w:pPr>
              <w:spacing w:after="0" w:line="360" w:lineRule="exact"/>
              <w:ind w:firstLine="480" w:firstLineChars="200"/>
              <w:jc w:val="left"/>
              <w:rPr>
                <w:rFonts w:ascii="Times New Roman" w:hAnsi="Times New Roman" w:eastAsia="仿宋"/>
                <w:szCs w:val="21"/>
              </w:rPr>
            </w:pPr>
            <w:r>
              <w:rPr>
                <w:rFonts w:hint="eastAsia" w:ascii="Times New Roman" w:hAnsi="Times New Roman" w:eastAsia="方正仿宋_GBK" w:cs="方正仿宋_GBK"/>
                <w:sz w:val="24"/>
                <w:szCs w:val="24"/>
              </w:rPr>
              <w:t>作品发布后，迅速在全市党员干部的朋友圈形成“刷屏”之势，并实现“破圈”传播。作品通过交互漫画这一新颖载体，成功化解了基层宣讲中存在的“畏难、枯燥”情绪，成为全市各级党组织开展深入贯彻中央八项规定精神学习教育的生动“辅助教材”。许多党员干部反馈，这种“边点边学”的交互方式，让违纪风险点在指尖跃动中一目了然，极大地增强了警示教育的针对性与实效性。该作品不仅是一次媒介融合的成功尝试，更在全市范围内营造了“学纪、知纪、守纪”的浓厚氛围，为清廉重庆建设注入了数字化新动能。</w:t>
            </w:r>
          </w:p>
        </w:tc>
      </w:tr>
      <w:tr w14:paraId="5F9CF103">
        <w:trPr>
          <w:trHeight w:val="266" w:hRule="atLeast"/>
          <w:jc w:val="center"/>
        </w:trPr>
        <w:tc>
          <w:tcPr>
            <w:tcW w:w="1132" w:type="dxa"/>
            <w:vMerge w:val="restart"/>
            <w:vAlign w:val="center"/>
          </w:tcPr>
          <w:p w14:paraId="6D3E2183">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传</w:t>
            </w:r>
          </w:p>
          <w:p w14:paraId="69860877">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播</w:t>
            </w:r>
          </w:p>
          <w:p w14:paraId="4A6B63ED">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数</w:t>
            </w:r>
          </w:p>
          <w:p w14:paraId="23984414">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据</w:t>
            </w:r>
          </w:p>
        </w:tc>
        <w:tc>
          <w:tcPr>
            <w:tcW w:w="1749" w:type="dxa"/>
            <w:gridSpan w:val="3"/>
            <w:vMerge w:val="restart"/>
            <w:vAlign w:val="center"/>
          </w:tcPr>
          <w:p w14:paraId="2F10D008">
            <w:pPr>
              <w:spacing w:after="0"/>
              <w:jc w:val="left"/>
              <w:rPr>
                <w:rFonts w:ascii="Times New Roman" w:hAnsi="Times New Roman" w:eastAsia="方正楷体_GBK"/>
                <w:szCs w:val="21"/>
              </w:rPr>
            </w:pPr>
            <w:r>
              <w:rPr>
                <w:rFonts w:hint="eastAsia" w:ascii="Times New Roman" w:hAnsi="Times New Roman" w:eastAsia="方正楷体_GBK"/>
                <w:szCs w:val="21"/>
              </w:rPr>
              <w:t>新媒体传播平台网址</w:t>
            </w:r>
          </w:p>
        </w:tc>
        <w:tc>
          <w:tcPr>
            <w:tcW w:w="7078" w:type="dxa"/>
            <w:gridSpan w:val="9"/>
            <w:vAlign w:val="center"/>
          </w:tcPr>
          <w:p w14:paraId="6CA1DBA0">
            <w:pPr>
              <w:spacing w:after="0"/>
              <w:jc w:val="left"/>
              <w:rPr>
                <w:rFonts w:ascii="Times New Roman" w:hAnsi="Times New Roman" w:eastAsia="仿宋"/>
                <w:sz w:val="24"/>
                <w:szCs w:val="24"/>
              </w:rPr>
            </w:pPr>
            <w:r>
              <w:rPr>
                <w:rFonts w:hint="eastAsia" w:ascii="Times New Roman" w:hAnsi="Times New Roman" w:eastAsia="仿宋"/>
                <w:sz w:val="24"/>
                <w:szCs w:val="24"/>
              </w:rPr>
              <w:t>1.https://m.12371.gov.cn/app/template/displayTemplate/news/newsDetail/6505/491947.html?isView=true</w:t>
            </w:r>
          </w:p>
        </w:tc>
      </w:tr>
      <w:tr w14:paraId="78570E59">
        <w:trPr>
          <w:trHeight w:val="235" w:hRule="atLeast"/>
          <w:jc w:val="center"/>
        </w:trPr>
        <w:tc>
          <w:tcPr>
            <w:tcW w:w="1132" w:type="dxa"/>
            <w:vMerge w:val="continue"/>
            <w:vAlign w:val="center"/>
          </w:tcPr>
          <w:p w14:paraId="1EAACCEF">
            <w:pPr>
              <w:spacing w:after="0" w:line="320" w:lineRule="exact"/>
              <w:jc w:val="center"/>
              <w:rPr>
                <w:rFonts w:ascii="Times New Roman" w:hAnsi="Times New Roman" w:eastAsia="方正黑体_GBK" w:cs="方正黑体_GBK"/>
                <w:sz w:val="28"/>
                <w:szCs w:val="20"/>
              </w:rPr>
            </w:pPr>
          </w:p>
        </w:tc>
        <w:tc>
          <w:tcPr>
            <w:tcW w:w="1749" w:type="dxa"/>
            <w:gridSpan w:val="3"/>
            <w:vMerge w:val="continue"/>
            <w:vAlign w:val="center"/>
          </w:tcPr>
          <w:p w14:paraId="19A67212">
            <w:pPr>
              <w:spacing w:after="0"/>
              <w:ind w:firstLine="420" w:firstLineChars="200"/>
              <w:jc w:val="left"/>
              <w:rPr>
                <w:rFonts w:ascii="Times New Roman" w:hAnsi="Times New Roman" w:eastAsia="方正楷体_GBK"/>
                <w:szCs w:val="21"/>
              </w:rPr>
            </w:pPr>
          </w:p>
        </w:tc>
        <w:tc>
          <w:tcPr>
            <w:tcW w:w="7078" w:type="dxa"/>
            <w:gridSpan w:val="9"/>
            <w:vAlign w:val="center"/>
          </w:tcPr>
          <w:p w14:paraId="040BD78D">
            <w:pPr>
              <w:spacing w:after="0"/>
              <w:jc w:val="left"/>
              <w:rPr>
                <w:rFonts w:ascii="Times New Roman" w:hAnsi="Times New Roman" w:eastAsia="仿宋"/>
                <w:sz w:val="24"/>
                <w:szCs w:val="24"/>
              </w:rPr>
            </w:pPr>
            <w:r>
              <w:rPr>
                <w:rFonts w:hint="eastAsia" w:ascii="Times New Roman" w:hAnsi="Times New Roman" w:eastAsia="仿宋"/>
                <w:sz w:val="24"/>
                <w:szCs w:val="24"/>
              </w:rPr>
              <w:t>2.https://mp.weixin.qq.com/s/9yJJw0WGQd8EGf8w_gBjPw</w:t>
            </w:r>
          </w:p>
        </w:tc>
      </w:tr>
      <w:tr w14:paraId="29CABA6C">
        <w:trPr>
          <w:trHeight w:val="781" w:hRule="exact"/>
          <w:jc w:val="center"/>
        </w:trPr>
        <w:tc>
          <w:tcPr>
            <w:tcW w:w="1132" w:type="dxa"/>
            <w:vMerge w:val="continue"/>
            <w:vAlign w:val="center"/>
          </w:tcPr>
          <w:p w14:paraId="227200A7">
            <w:pPr>
              <w:spacing w:after="0" w:line="320" w:lineRule="exact"/>
              <w:jc w:val="center"/>
              <w:rPr>
                <w:rFonts w:ascii="Times New Roman" w:hAnsi="Times New Roman" w:eastAsia="方正黑体_GBK" w:cs="方正黑体_GBK"/>
                <w:sz w:val="28"/>
                <w:szCs w:val="20"/>
              </w:rPr>
            </w:pPr>
          </w:p>
        </w:tc>
        <w:tc>
          <w:tcPr>
            <w:tcW w:w="1749" w:type="dxa"/>
            <w:gridSpan w:val="3"/>
            <w:vAlign w:val="center"/>
          </w:tcPr>
          <w:p w14:paraId="50804CB0">
            <w:pPr>
              <w:spacing w:after="0" w:line="320" w:lineRule="exact"/>
              <w:jc w:val="both"/>
              <w:rPr>
                <w:rFonts w:ascii="Times New Roman" w:hAnsi="Times New Roman" w:eastAsia="方正楷体_GBK"/>
                <w:szCs w:val="21"/>
              </w:rPr>
            </w:pPr>
            <w:r>
              <w:rPr>
                <w:rFonts w:hint="eastAsia" w:ascii="Times New Roman" w:hAnsi="Times New Roman" w:eastAsia="方正楷体_GBK"/>
                <w:szCs w:val="21"/>
              </w:rPr>
              <w:t>阅读量（浏览量、点击量）</w:t>
            </w:r>
          </w:p>
        </w:tc>
        <w:tc>
          <w:tcPr>
            <w:tcW w:w="1703" w:type="dxa"/>
            <w:gridSpan w:val="2"/>
            <w:vAlign w:val="center"/>
          </w:tcPr>
          <w:p w14:paraId="00B91DF7">
            <w:pPr>
              <w:spacing w:after="0"/>
              <w:ind w:firstLine="480" w:firstLineChars="200"/>
              <w:jc w:val="both"/>
              <w:rPr>
                <w:rFonts w:ascii="Times New Roman" w:hAnsi="Times New Roman" w:eastAsia="方正楷体_GBK"/>
                <w:szCs w:val="21"/>
              </w:rPr>
            </w:pPr>
            <w:r>
              <w:rPr>
                <w:rFonts w:hint="eastAsia" w:ascii="Times New Roman" w:hAnsi="Times New Roman" w:eastAsia="方正仿宋_GBK" w:cs="方正仿宋_GBK"/>
                <w:sz w:val="24"/>
                <w:szCs w:val="24"/>
              </w:rPr>
              <w:t>51090</w:t>
            </w:r>
          </w:p>
        </w:tc>
        <w:tc>
          <w:tcPr>
            <w:tcW w:w="958" w:type="dxa"/>
            <w:gridSpan w:val="3"/>
            <w:vAlign w:val="center"/>
          </w:tcPr>
          <w:p w14:paraId="5327A226">
            <w:pPr>
              <w:jc w:val="both"/>
              <w:rPr>
                <w:rFonts w:hint="eastAsia" w:ascii="Times New Roman" w:hAnsi="Times New Roman" w:eastAsia="方正楷体_GBK" w:cs="Times New Roman"/>
                <w:sz w:val="22"/>
                <w:szCs w:val="16"/>
              </w:rPr>
            </w:pPr>
            <w:r>
              <w:rPr>
                <w:rFonts w:hint="eastAsia" w:ascii="Times New Roman" w:hAnsi="Times New Roman" w:eastAsia="方正楷体_GBK" w:cs="仿宋"/>
                <w:sz w:val="22"/>
                <w:szCs w:val="16"/>
              </w:rPr>
              <w:t>转载量</w:t>
            </w:r>
          </w:p>
        </w:tc>
        <w:tc>
          <w:tcPr>
            <w:tcW w:w="2019" w:type="dxa"/>
            <w:gridSpan w:val="2"/>
            <w:vAlign w:val="center"/>
          </w:tcPr>
          <w:p w14:paraId="385A8481">
            <w:pPr>
              <w:spacing w:after="0"/>
              <w:ind w:firstLine="480" w:firstLineChars="200"/>
              <w:jc w:val="both"/>
              <w:rPr>
                <w:rFonts w:ascii="Times New Roman" w:hAnsi="Times New Roman" w:eastAsia="方正楷体_GBK"/>
                <w:szCs w:val="21"/>
              </w:rPr>
            </w:pPr>
            <w:r>
              <w:rPr>
                <w:rFonts w:hint="eastAsia" w:ascii="Times New Roman" w:hAnsi="Times New Roman" w:eastAsia="方正仿宋_GBK" w:cs="方正仿宋_GBK"/>
                <w:sz w:val="24"/>
                <w:szCs w:val="24"/>
              </w:rPr>
              <w:t>12120</w:t>
            </w:r>
          </w:p>
        </w:tc>
        <w:tc>
          <w:tcPr>
            <w:tcW w:w="925" w:type="dxa"/>
            <w:vAlign w:val="center"/>
          </w:tcPr>
          <w:p w14:paraId="109F8BA9">
            <w:pPr>
              <w:spacing w:after="0"/>
              <w:jc w:val="both"/>
              <w:rPr>
                <w:rFonts w:ascii="Times New Roman" w:hAnsi="Times New Roman" w:eastAsia="方正楷体_GBK"/>
                <w:szCs w:val="21"/>
              </w:rPr>
            </w:pPr>
            <w:r>
              <w:rPr>
                <w:rFonts w:hint="eastAsia" w:ascii="Times New Roman" w:hAnsi="Times New Roman" w:eastAsia="方正楷体_GBK"/>
                <w:szCs w:val="21"/>
              </w:rPr>
              <w:t>互动量</w:t>
            </w:r>
          </w:p>
        </w:tc>
        <w:tc>
          <w:tcPr>
            <w:tcW w:w="1473" w:type="dxa"/>
            <w:vAlign w:val="center"/>
          </w:tcPr>
          <w:p w14:paraId="37779456">
            <w:pPr>
              <w:spacing w:after="0"/>
              <w:ind w:firstLine="480" w:firstLineChars="200"/>
              <w:jc w:val="both"/>
              <w:rPr>
                <w:rFonts w:ascii="Times New Roman" w:hAnsi="Times New Roman" w:eastAsia="仿宋"/>
                <w:szCs w:val="21"/>
              </w:rPr>
            </w:pPr>
            <w:r>
              <w:rPr>
                <w:rFonts w:hint="eastAsia" w:ascii="Times New Roman" w:hAnsi="Times New Roman" w:eastAsia="方正仿宋_GBK" w:cs="方正仿宋_GBK"/>
                <w:sz w:val="24"/>
                <w:szCs w:val="24"/>
              </w:rPr>
              <w:t>950</w:t>
            </w:r>
          </w:p>
        </w:tc>
      </w:tr>
      <w:tr w14:paraId="1BB5EFF5">
        <w:trPr>
          <w:trHeight w:val="2967" w:hRule="exact"/>
          <w:jc w:val="center"/>
        </w:trPr>
        <w:tc>
          <w:tcPr>
            <w:tcW w:w="1132" w:type="dxa"/>
            <w:vAlign w:val="center"/>
          </w:tcPr>
          <w:p w14:paraId="081AA343">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推</w:t>
            </w:r>
          </w:p>
          <w:p w14:paraId="669ADA90">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荐</w:t>
            </w:r>
          </w:p>
          <w:p w14:paraId="429E8BCD">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理</w:t>
            </w:r>
          </w:p>
          <w:p w14:paraId="293F6C02">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由</w:t>
            </w:r>
          </w:p>
        </w:tc>
        <w:tc>
          <w:tcPr>
            <w:tcW w:w="8827" w:type="dxa"/>
            <w:gridSpan w:val="12"/>
            <w:vAlign w:val="center"/>
          </w:tcPr>
          <w:p w14:paraId="0C8F6052">
            <w:pPr>
              <w:spacing w:after="0" w:line="320" w:lineRule="exact"/>
              <w:ind w:firstLine="480" w:firstLineChars="200"/>
              <w:jc w:val="left"/>
              <w:rPr>
                <w:rFonts w:hint="eastAsia" w:ascii="Times New Roman" w:hAnsi="Times New Roman" w:eastAsia="方正仿宋_GBK" w:cs="方正仿宋_GBK"/>
                <w:sz w:val="24"/>
                <w:szCs w:val="24"/>
              </w:rPr>
            </w:pPr>
            <w:r>
              <w:rPr>
                <w:rFonts w:hint="eastAsia" w:ascii="Times New Roman" w:hAnsi="Times New Roman" w:eastAsia="方正仿宋_GBK" w:cs="方正仿宋_GBK"/>
                <w:sz w:val="24"/>
                <w:szCs w:val="24"/>
              </w:rPr>
              <w:t>作品打破传统说教形式，构思巧妙，通过“指尖点触”拆解违规吃喝中“吃公函”等典型的隐形变异现象，实现了从“单向灌输”到“沉浸体验”的转变。</w:t>
            </w:r>
            <w:r>
              <w:rPr>
                <w:rFonts w:hint="eastAsia" w:ascii="Times New Roman" w:hAnsi="Times New Roman" w:eastAsia="方正仿宋_GBK" w:cs="方正仿宋_GBK"/>
                <w:sz w:val="24"/>
                <w:szCs w:val="24"/>
                <w:lang w:eastAsia="zh-CN"/>
              </w:rPr>
              <w:t>作品</w:t>
            </w:r>
            <w:r>
              <w:rPr>
                <w:rFonts w:hint="eastAsia" w:ascii="Times New Roman" w:hAnsi="Times New Roman" w:eastAsia="方正仿宋_GBK" w:cs="方正仿宋_GBK"/>
                <w:sz w:val="24"/>
                <w:szCs w:val="24"/>
              </w:rPr>
              <w:t>内容品质精良，在推动廉洁文化数字化传播方面具有极强的行业示范意义</w:t>
            </w:r>
            <w:r>
              <w:rPr>
                <w:rFonts w:hint="eastAsia" w:ascii="Times New Roman" w:hAnsi="Times New Roman" w:eastAsia="方正仿宋_GBK" w:cs="方正仿宋_GBK"/>
                <w:sz w:val="24"/>
                <w:szCs w:val="24"/>
                <w:lang w:eastAsia="zh-CN"/>
              </w:rPr>
              <w:t>，</w:t>
            </w:r>
            <w:r>
              <w:rPr>
                <w:rFonts w:hint="eastAsia" w:ascii="Times New Roman" w:hAnsi="Times New Roman" w:eastAsia="方正仿宋_GBK" w:cs="方正仿宋_GBK"/>
                <w:sz w:val="24"/>
                <w:szCs w:val="24"/>
                <w:lang w:val="en-US" w:eastAsia="zh-CN"/>
              </w:rPr>
              <w:t>并被评为市委宣传部“三好”作品，</w:t>
            </w:r>
            <w:bookmarkStart w:id="0" w:name="_GoBack"/>
            <w:bookmarkEnd w:id="0"/>
            <w:r>
              <w:rPr>
                <w:rFonts w:hint="eastAsia" w:ascii="Times New Roman" w:hAnsi="Times New Roman" w:eastAsia="方正仿宋_GBK" w:cs="方正仿宋_GBK"/>
                <w:sz w:val="24"/>
                <w:szCs w:val="24"/>
              </w:rPr>
              <w:t>同意推荐。</w:t>
            </w:r>
          </w:p>
          <w:p w14:paraId="0AEF1A6F">
            <w:pPr>
              <w:spacing w:after="0" w:line="320" w:lineRule="exact"/>
              <w:ind w:firstLine="480" w:firstLineChars="200"/>
              <w:jc w:val="left"/>
              <w:rPr>
                <w:rFonts w:hint="eastAsia" w:ascii="Times New Roman" w:hAnsi="Times New Roman" w:eastAsia="方正仿宋_GBK" w:cs="方正仿宋_GBK"/>
                <w:sz w:val="24"/>
                <w:szCs w:val="24"/>
              </w:rPr>
            </w:pPr>
          </w:p>
          <w:p w14:paraId="6FC47E6A">
            <w:pPr>
              <w:spacing w:after="0" w:line="320" w:lineRule="exact"/>
              <w:ind w:firstLine="480" w:firstLineChars="200"/>
              <w:jc w:val="left"/>
              <w:rPr>
                <w:rFonts w:hint="eastAsia" w:ascii="Times New Roman" w:hAnsi="Times New Roman" w:eastAsia="方正仿宋_GBK" w:cs="方正仿宋_GBK"/>
                <w:sz w:val="24"/>
                <w:szCs w:val="24"/>
              </w:rPr>
            </w:pPr>
          </w:p>
          <w:p w14:paraId="080A1D29">
            <w:pPr>
              <w:wordWrap w:val="0"/>
              <w:spacing w:after="0" w:line="320" w:lineRule="exact"/>
              <w:ind w:firstLine="480" w:firstLineChars="200"/>
              <w:jc w:val="right"/>
              <w:rPr>
                <w:rFonts w:hint="default" w:ascii="Times New Roman" w:hAnsi="Times New Roman" w:eastAsia="方正仿宋_GBK" w:cs="方正仿宋_GBK"/>
                <w:sz w:val="24"/>
                <w:szCs w:val="24"/>
                <w:lang w:val="en-US"/>
              </w:rPr>
            </w:pPr>
            <w:r>
              <w:rPr>
                <w:rFonts w:hint="eastAsia" w:ascii="Times New Roman" w:hAnsi="Times New Roman" w:eastAsia="方正仿宋_GBK" w:cs="方正仿宋_GBK"/>
                <w:sz w:val="24"/>
                <w:szCs w:val="24"/>
              </w:rPr>
              <w:t>签名：</w:t>
            </w:r>
            <w:r>
              <w:rPr>
                <w:rFonts w:hint="eastAsia" w:ascii="Times New Roman" w:hAnsi="Times New Roman" w:eastAsia="方正仿宋_GBK" w:cs="方正仿宋_GBK"/>
                <w:sz w:val="24"/>
                <w:szCs w:val="24"/>
                <w:lang w:val="en-US" w:eastAsia="zh-CN"/>
              </w:rPr>
              <w:t xml:space="preserve">            </w:t>
            </w:r>
            <w:r>
              <w:rPr>
                <w:rFonts w:hint="eastAsia" w:ascii="Times New Roman" w:hAnsi="Times New Roman" w:eastAsia="方正仿宋_GBK" w:cs="方正仿宋_GBK"/>
                <w:sz w:val="24"/>
                <w:szCs w:val="24"/>
              </w:rPr>
              <w:t>2026年3月</w:t>
            </w:r>
            <w:r>
              <w:rPr>
                <w:rFonts w:hint="default" w:ascii="Times New Roman" w:hAnsi="Times New Roman" w:eastAsia="方正仿宋_GBK" w:cs="方正仿宋_GBK"/>
                <w:sz w:val="24"/>
                <w:szCs w:val="24"/>
                <w:lang w:val="en-US"/>
              </w:rPr>
              <w:t>8</w:t>
            </w:r>
            <w:r>
              <w:rPr>
                <w:rFonts w:hint="eastAsia" w:ascii="Times New Roman" w:hAnsi="Times New Roman" w:eastAsia="方正仿宋_GBK" w:cs="方正仿宋_GBK"/>
                <w:sz w:val="24"/>
                <w:szCs w:val="24"/>
              </w:rPr>
              <w:t>日</w:t>
            </w:r>
            <w:r>
              <w:rPr>
                <w:rFonts w:hint="default" w:ascii="Times New Roman" w:hAnsi="Times New Roman" w:eastAsia="方正仿宋_GBK" w:cs="方正仿宋_GBK"/>
                <w:sz w:val="24"/>
                <w:szCs w:val="24"/>
                <w:lang w:val="en-US"/>
              </w:rPr>
              <w:t xml:space="preserve">  </w:t>
            </w:r>
          </w:p>
          <w:p w14:paraId="6CECE8D8">
            <w:pPr>
              <w:spacing w:after="0" w:line="320" w:lineRule="exact"/>
              <w:ind w:right="480"/>
              <w:jc w:val="right"/>
              <w:rPr>
                <w:rFonts w:ascii="Times New Roman" w:hAnsi="Times New Roman" w:eastAsia="华文中宋" w:cs="Times New Roman"/>
                <w:sz w:val="28"/>
                <w:szCs w:val="20"/>
              </w:rPr>
            </w:pPr>
          </w:p>
        </w:tc>
      </w:tr>
      <w:tr w14:paraId="0A76252E">
        <w:trPr>
          <w:trHeight w:val="715" w:hRule="exact"/>
          <w:jc w:val="center"/>
        </w:trPr>
        <w:tc>
          <w:tcPr>
            <w:tcW w:w="1132" w:type="dxa"/>
            <w:vAlign w:val="center"/>
          </w:tcPr>
          <w:p w14:paraId="481911CA">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联系人</w:t>
            </w:r>
          </w:p>
        </w:tc>
        <w:tc>
          <w:tcPr>
            <w:tcW w:w="1749" w:type="dxa"/>
            <w:gridSpan w:val="3"/>
            <w:vAlign w:val="center"/>
          </w:tcPr>
          <w:p w14:paraId="0CB40F9B">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仿宋_GBK" w:cs="方正仿宋_GBK"/>
                <w:sz w:val="24"/>
                <w:szCs w:val="24"/>
              </w:rPr>
              <w:t>刘露</w:t>
            </w:r>
          </w:p>
        </w:tc>
        <w:tc>
          <w:tcPr>
            <w:tcW w:w="1136" w:type="dxa"/>
            <w:vAlign w:val="center"/>
          </w:tcPr>
          <w:p w14:paraId="357EDF99">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电话</w:t>
            </w:r>
          </w:p>
        </w:tc>
        <w:tc>
          <w:tcPr>
            <w:tcW w:w="1863" w:type="dxa"/>
            <w:gridSpan w:val="5"/>
            <w:vAlign w:val="center"/>
          </w:tcPr>
          <w:p w14:paraId="7D7F86F8">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仿宋_GBK" w:cs="方正仿宋_GBK"/>
                <w:sz w:val="24"/>
                <w:szCs w:val="24"/>
              </w:rPr>
              <w:t>023-63856943</w:t>
            </w:r>
          </w:p>
        </w:tc>
        <w:tc>
          <w:tcPr>
            <w:tcW w:w="1681" w:type="dxa"/>
            <w:vAlign w:val="center"/>
          </w:tcPr>
          <w:p w14:paraId="16C59603">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手机</w:t>
            </w:r>
          </w:p>
        </w:tc>
        <w:tc>
          <w:tcPr>
            <w:tcW w:w="2398" w:type="dxa"/>
            <w:gridSpan w:val="2"/>
            <w:vAlign w:val="center"/>
          </w:tcPr>
          <w:p w14:paraId="48B9817C">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仿宋_GBK" w:cs="方正仿宋_GBK"/>
                <w:sz w:val="24"/>
                <w:szCs w:val="24"/>
              </w:rPr>
              <w:t>18983658045</w:t>
            </w:r>
          </w:p>
        </w:tc>
      </w:tr>
      <w:tr w14:paraId="2EE98C03">
        <w:trPr>
          <w:trHeight w:val="571" w:hRule="exact"/>
          <w:jc w:val="center"/>
        </w:trPr>
        <w:tc>
          <w:tcPr>
            <w:tcW w:w="1132" w:type="dxa"/>
            <w:vAlign w:val="center"/>
          </w:tcPr>
          <w:p w14:paraId="00CF1413">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地址</w:t>
            </w:r>
          </w:p>
        </w:tc>
        <w:tc>
          <w:tcPr>
            <w:tcW w:w="4748" w:type="dxa"/>
            <w:gridSpan w:val="9"/>
            <w:vAlign w:val="center"/>
          </w:tcPr>
          <w:p w14:paraId="13994C3C">
            <w:pPr>
              <w:spacing w:after="0" w:line="320" w:lineRule="exact"/>
              <w:jc w:val="center"/>
              <w:rPr>
                <w:rFonts w:ascii="Times New Roman" w:hAnsi="Times New Roman" w:eastAsia="方正黑体_GBK" w:cs="方正黑体_GBK"/>
                <w:sz w:val="28"/>
                <w:szCs w:val="20"/>
              </w:rPr>
            </w:pPr>
            <w:r>
              <w:rPr>
                <w:rFonts w:hint="eastAsia" w:ascii="Times New Roman" w:hAnsi="Times New Roman" w:eastAsia="方正仿宋_GBK" w:cs="方正仿宋_GBK"/>
                <w:sz w:val="24"/>
                <w:szCs w:val="24"/>
              </w:rPr>
              <w:t>重庆市两江新区食品城大道35号</w:t>
            </w:r>
          </w:p>
        </w:tc>
        <w:tc>
          <w:tcPr>
            <w:tcW w:w="1681" w:type="dxa"/>
            <w:vAlign w:val="center"/>
          </w:tcPr>
          <w:p w14:paraId="7F1A8E7E">
            <w:pPr>
              <w:spacing w:after="0" w:line="400" w:lineRule="exact"/>
              <w:jc w:val="center"/>
              <w:rPr>
                <w:rFonts w:ascii="Times New Roman" w:hAnsi="Times New Roman" w:eastAsia="方正黑体_GBK" w:cs="方正黑体_GBK"/>
                <w:sz w:val="28"/>
                <w:szCs w:val="20"/>
              </w:rPr>
            </w:pPr>
            <w:r>
              <w:rPr>
                <w:rFonts w:hint="eastAsia" w:ascii="Times New Roman" w:hAnsi="Times New Roman" w:eastAsia="方正黑体_GBK" w:cs="方正黑体_GBK"/>
                <w:sz w:val="28"/>
                <w:szCs w:val="20"/>
              </w:rPr>
              <w:t>邮箱</w:t>
            </w:r>
          </w:p>
        </w:tc>
        <w:tc>
          <w:tcPr>
            <w:tcW w:w="2398" w:type="dxa"/>
            <w:gridSpan w:val="2"/>
            <w:vAlign w:val="center"/>
          </w:tcPr>
          <w:p w14:paraId="59600771">
            <w:pPr>
              <w:spacing w:after="0" w:line="400" w:lineRule="exact"/>
              <w:jc w:val="center"/>
              <w:rPr>
                <w:rFonts w:ascii="Times New Roman" w:hAnsi="Times New Roman" w:eastAsia="仿宋" w:cs="Times New Roman"/>
                <w:szCs w:val="21"/>
              </w:rPr>
            </w:pPr>
            <w:r>
              <w:rPr>
                <w:rFonts w:hint="eastAsia" w:ascii="Times New Roman" w:hAnsi="Times New Roman" w:eastAsia="方正仿宋_GBK" w:cs="方正仿宋_GBK"/>
                <w:sz w:val="24"/>
                <w:szCs w:val="24"/>
              </w:rPr>
              <w:t>1207057427@qq.com</w:t>
            </w:r>
          </w:p>
        </w:tc>
      </w:tr>
    </w:tbl>
    <w:p w14:paraId="39D91D33"/>
    <w:sectPr>
      <w:pgSz w:w="11906" w:h="16838"/>
      <w:pgMar w:top="1984" w:right="1446" w:bottom="1644" w:left="1446" w:header="851" w:footer="992" w:gutter="0"/>
      <w:cols w:space="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0EC475D2-1F05-8276-4467-AD69AD1E4208}"/>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E50002FF" w:usb1="500079DB" w:usb2="00000010" w:usb3="00000000" w:csb0="00000000" w:csb1="00000000"/>
  </w:font>
  <w:font w:name="汉仪书宋二KW">
    <w:panose1 w:val="00020600040101010101"/>
    <w:charset w:val="86"/>
    <w:family w:val="auto"/>
    <w:pitch w:val="default"/>
    <w:sig w:usb0="A00002BF" w:usb1="18EF7CFA" w:usb2="00000016" w:usb3="00000000" w:csb0="00040000" w:csb1="00000000"/>
  </w:font>
  <w:font w:name="Heiti SC Medium">
    <w:panose1 w:val="02000000000000000000"/>
    <w:charset w:val="86"/>
    <w:family w:val="auto"/>
    <w:pitch w:val="default"/>
    <w:sig w:usb0="8000002F" w:usb1="0800004A" w:usb2="00000000" w:usb3="00000000" w:csb0="203E0000" w:csb1="00000000"/>
  </w:font>
  <w:font w:name="FZFangSong-Z02">
    <w:panose1 w:val="02000000000000000000"/>
    <w:charset w:val="86"/>
    <w:family w:val="auto"/>
    <w:pitch w:val="default"/>
    <w:sig w:usb0="A00002BF" w:usb1="38CF7CFA" w:usb2="00082016" w:usb3="00000000" w:csb0="00040001" w:csb1="00000000"/>
  </w:font>
  <w:font w:name="DejaVu Sans">
    <w:altName w:val="苹方-简"/>
    <w:panose1 w:val="020B0603030804020204"/>
    <w:charset w:val="00"/>
    <w:family w:val="auto"/>
    <w:pitch w:val="default"/>
    <w:sig w:usb0="00000000" w:usb1="00000000" w:usb2="0A246029" w:usb3="0400200C" w:csb0="600001FF" w:csb1="DFFF0000"/>
  </w:font>
  <w:font w:name="仿宋_GB2312">
    <w:altName w:val="方正仿宋_GBK"/>
    <w:panose1 w:val="02010609030101010101"/>
    <w:charset w:val="86"/>
    <w:family w:val="modern"/>
    <w:pitch w:val="default"/>
    <w:sig w:usb0="00000000" w:usb1="00000000" w:usb2="00000010" w:usb3="00000000" w:csb0="00040000" w:csb1="00000000"/>
  </w:font>
  <w:font w:name="方正小标宋_GBK">
    <w:panose1 w:val="02000000000000000000"/>
    <w:charset w:val="86"/>
    <w:family w:val="script"/>
    <w:pitch w:val="default"/>
    <w:sig w:usb0="A00002BF" w:usb1="38CF7CFA" w:usb2="00082016" w:usb3="00000000" w:csb0="00040001" w:csb1="00000000"/>
    <w:embedRegular r:id="rId2" w:fontKey="{3F0DFA3D-9D36-3106-4467-AD690E7718A1}"/>
  </w:font>
  <w:font w:name="华文中宋">
    <w:altName w:val="汉仪书宋二KW"/>
    <w:panose1 w:val="02010600040101010101"/>
    <w:charset w:val="86"/>
    <w:family w:val="auto"/>
    <w:pitch w:val="default"/>
    <w:sig w:usb0="00000000" w:usb1="00000000" w:usb2="00000000" w:usb3="00000000" w:csb0="0004009F" w:csb1="DFD70000"/>
  </w:font>
  <w:font w:name="方正黑体_GBK">
    <w:panose1 w:val="03000509000000000000"/>
    <w:charset w:val="86"/>
    <w:family w:val="script"/>
    <w:pitch w:val="default"/>
    <w:sig w:usb0="00000001" w:usb1="080E0000" w:usb2="00000000" w:usb3="00000000" w:csb0="00040000" w:csb1="00000000"/>
    <w:embedRegular r:id="rId3" w:fontKey="{6E0F0D83-39C6-3DDC-4467-AD69D3152CAC}"/>
  </w:font>
  <w:font w:name="方正仿宋_GBK">
    <w:panose1 w:val="02000000000000000000"/>
    <w:charset w:val="86"/>
    <w:family w:val="script"/>
    <w:pitch w:val="default"/>
    <w:sig w:usb0="A00002BF" w:usb1="38CF7CFA" w:usb2="00082016" w:usb3="00000000" w:csb0="00040001" w:csb1="00000000"/>
    <w:embedRegular r:id="rId4" w:fontKey="{CF302660-DDFF-C9BF-4467-AD696859B825}"/>
  </w:font>
  <w:font w:name="仿宋">
    <w:altName w:val="方正仿宋_GBK"/>
    <w:panose1 w:val="02010609060101010101"/>
    <w:charset w:val="86"/>
    <w:family w:val="modern"/>
    <w:pitch w:val="default"/>
    <w:sig w:usb0="00000000" w:usb1="00000000" w:usb2="00000016" w:usb3="00000000" w:csb0="00040001" w:csb1="00000000"/>
  </w:font>
  <w:font w:name="方正楷体_GBK">
    <w:panose1 w:val="03000509000000000000"/>
    <w:charset w:val="86"/>
    <w:family w:val="script"/>
    <w:pitch w:val="default"/>
    <w:sig w:usb0="00000001" w:usb1="080E0000" w:usb2="00000000" w:usb3="00000000" w:csb0="00040000" w:csb1="00000000"/>
    <w:embedRegular r:id="rId5" w:fontKey="{9BFA536D-8B4C-43ED-4467-AD699DE811DD}"/>
  </w:font>
  <w:font w:name="Arial Unicode MS">
    <w:panose1 w:val="020B0604020202020204"/>
    <w:charset w:val="86"/>
    <w:family w:val="auto"/>
    <w:pitch w:val="default"/>
    <w:sig w:usb0="FFFFFFFF" w:usb1="E9FFFFFF" w:usb2="0000003F" w:usb3="00000000" w:csb0="603F01FF" w:csb1="FFFF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苹方-简">
    <w:panose1 w:val="020B0400000000000000"/>
    <w:charset w:val="86"/>
    <w:family w:val="auto"/>
    <w:pitch w:val="default"/>
    <w:sig w:usb0="A00002FF" w:usb1="7ACFFDFB" w:usb2="00000017"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NotDisplayPageBoundaries w:val="1"/>
  <w:embedTrueTypeFonts/>
  <w:saveSubset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98D00ED"/>
    <w:rsid w:val="00105AD2"/>
    <w:rsid w:val="001373FB"/>
    <w:rsid w:val="0030323B"/>
    <w:rsid w:val="0047765E"/>
    <w:rsid w:val="00571211"/>
    <w:rsid w:val="00667A19"/>
    <w:rsid w:val="00773868"/>
    <w:rsid w:val="00AD3B45"/>
    <w:rsid w:val="00BC3889"/>
    <w:rsid w:val="00CA0805"/>
    <w:rsid w:val="00DF39ED"/>
    <w:rsid w:val="00E3612C"/>
    <w:rsid w:val="00E70D06"/>
    <w:rsid w:val="00EA4996"/>
    <w:rsid w:val="00EE48AB"/>
    <w:rsid w:val="00FB748A"/>
    <w:rsid w:val="01D24070"/>
    <w:rsid w:val="12A86FD9"/>
    <w:rsid w:val="198D00ED"/>
    <w:rsid w:val="22A2450D"/>
    <w:rsid w:val="23BC2CA4"/>
    <w:rsid w:val="3EF44D50"/>
    <w:rsid w:val="42B76142"/>
    <w:rsid w:val="45E53C83"/>
    <w:rsid w:val="488A0D8E"/>
    <w:rsid w:val="48FA7DB5"/>
    <w:rsid w:val="552F1ED1"/>
    <w:rsid w:val="567F2EEF"/>
    <w:rsid w:val="5C955DF5"/>
    <w:rsid w:val="5EEFFE0C"/>
    <w:rsid w:val="64014A1E"/>
    <w:rsid w:val="665DAFD2"/>
    <w:rsid w:val="791E6F19"/>
    <w:rsid w:val="79954710"/>
    <w:rsid w:val="7DA60382"/>
    <w:rsid w:val="7E7E4966"/>
    <w:rsid w:val="7F4E4FF2"/>
    <w:rsid w:val="BBCEBBE2"/>
    <w:rsid w:val="DBFDA06B"/>
    <w:rsid w:val="DFF720B2"/>
    <w:rsid w:val="EF762459"/>
    <w:rsid w:val="FDC7C983"/>
    <w:rsid w:val="FDF1CE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jc w:val="both"/>
    </w:pPr>
    <w:rPr>
      <w:rFonts w:ascii="Calibri" w:hAnsi="Calibri" w:eastAsia="宋体" w:cs="黑体"/>
      <w:kern w:val="2"/>
      <w:sz w:val="21"/>
      <w:szCs w:val="22"/>
      <w:lang w:val="en-US" w:eastAsia="zh-CN" w:bidi="ar-SA"/>
    </w:rPr>
  </w:style>
  <w:style w:type="paragraph" w:styleId="2">
    <w:name w:val="heading 1"/>
    <w:basedOn w:val="1"/>
    <w:next w:val="1"/>
    <w:qFormat/>
    <w:uiPriority w:val="0"/>
    <w:pPr>
      <w:spacing w:beforeAutospacing="1" w:after="0" w:afterAutospacing="1"/>
      <w:jc w:val="left"/>
      <w:outlineLvl w:val="0"/>
    </w:pPr>
    <w:rPr>
      <w:rFonts w:hint="eastAsia" w:ascii="宋体" w:hAnsi="宋体" w:cs="Times New Roman"/>
      <w:b/>
      <w:bCs/>
      <w:kern w:val="44"/>
      <w:sz w:val="48"/>
      <w:szCs w:val="48"/>
    </w:rPr>
  </w:style>
  <w:style w:type="character" w:default="1" w:styleId="7">
    <w:name w:val="Default Paragraph Font"/>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Body Text"/>
    <w:basedOn w:val="1"/>
    <w:next w:val="1"/>
    <w:unhideWhenUsed/>
    <w:qFormat/>
    <w:uiPriority w:val="0"/>
    <w:pPr>
      <w:spacing w:after="120"/>
    </w:pPr>
    <w:rPr>
      <w:rFonts w:eastAsia="仿宋_GB2312" w:cs="Times New Roman"/>
      <w:sz w:val="32"/>
      <w:szCs w:val="24"/>
    </w:rPr>
  </w:style>
  <w:style w:type="paragraph" w:styleId="4">
    <w:name w:val="footer"/>
    <w:basedOn w:val="1"/>
    <w:link w:val="9"/>
    <w:qFormat/>
    <w:uiPriority w:val="0"/>
    <w:pPr>
      <w:tabs>
        <w:tab w:val="center" w:pos="4153"/>
        <w:tab w:val="right" w:pos="8306"/>
      </w:tabs>
      <w:snapToGrid w:val="0"/>
      <w:spacing w:line="240" w:lineRule="auto"/>
      <w:jc w:val="left"/>
    </w:pPr>
    <w:rPr>
      <w:sz w:val="18"/>
      <w:szCs w:val="18"/>
    </w:rPr>
  </w:style>
  <w:style w:type="paragraph" w:styleId="5">
    <w:name w:val="header"/>
    <w:basedOn w:val="1"/>
    <w:link w:val="8"/>
    <w:qFormat/>
    <w:uiPriority w:val="0"/>
    <w:pPr>
      <w:tabs>
        <w:tab w:val="center" w:pos="4153"/>
        <w:tab w:val="right" w:pos="8306"/>
      </w:tabs>
      <w:snapToGrid w:val="0"/>
      <w:spacing w:line="240" w:lineRule="auto"/>
      <w:jc w:val="center"/>
    </w:pPr>
    <w:rPr>
      <w:sz w:val="18"/>
      <w:szCs w:val="18"/>
    </w:rPr>
  </w:style>
  <w:style w:type="character" w:customStyle="1" w:styleId="8">
    <w:name w:val="页眉 字符"/>
    <w:basedOn w:val="7"/>
    <w:link w:val="5"/>
    <w:qFormat/>
    <w:uiPriority w:val="0"/>
    <w:rPr>
      <w:rFonts w:ascii="Calibri" w:hAnsi="Calibri" w:cs="黑体"/>
      <w:kern w:val="2"/>
      <w:sz w:val="18"/>
      <w:szCs w:val="18"/>
    </w:rPr>
  </w:style>
  <w:style w:type="character" w:customStyle="1" w:styleId="9">
    <w:name w:val="页脚 字符"/>
    <w:basedOn w:val="7"/>
    <w:link w:val="4"/>
    <w:qFormat/>
    <w:uiPriority w:val="0"/>
    <w:rPr>
      <w:rFonts w:ascii="Calibri" w:hAnsi="Calibri" w:cs="黑体"/>
      <w:kern w:val="2"/>
      <w:sz w:val="18"/>
      <w:szCs w:val="18"/>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204</Words>
  <Characters>1167</Characters>
  <Lines>9</Lines>
  <Paragraphs>2</Paragraphs>
  <TotalTime>0</TotalTime>
  <ScaleCrop>false</ScaleCrop>
  <LinksUpToDate>false</LinksUpToDate>
  <CharactersWithSpaces>1369</CharactersWithSpaces>
  <Application>WPS Office_12.1.24709.24709_F1E327BC-269C-435d-A152-05C5408002CA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2026-03-09T07:28:00Z</dcterms:created>
  <dc:creator>wages</dc:creator>
  <cp:lastModifiedBy>文博</cp:lastModifiedBy>
  <dcterms:modified xsi:type="dcterms:W3CDTF">2026-03-08T20:10:44Z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2052-12.1.24709.24709</vt:lpwstr>
  </property>
  <property fmtid="{D5CDD505-2E9C-101B-9397-08002B2CF9AE}" pid="3" name="ICV">
    <vt:lpwstr>87450277178B4F41920C2CEC78781E5D_13</vt:lpwstr>
  </property>
  <property fmtid="{D5CDD505-2E9C-101B-9397-08002B2CF9AE}" pid="4" name="KSOTemplateDocerSaveRecord">
    <vt:lpwstr>eyJoZGlkIjoiODRlZjc5NzBiMzA3N2VlMzBlMzU2YzNlYmU3NGUyNGIiLCJ1c2VySWQiOiIxOTc1MTcyODcifQ==</vt:lpwstr>
  </property>
</Properties>
</file>