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7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339"/>
        <w:gridCol w:w="790"/>
        <w:gridCol w:w="486"/>
        <w:gridCol w:w="992"/>
        <w:gridCol w:w="284"/>
        <w:gridCol w:w="567"/>
        <w:gridCol w:w="85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雪域寻亲——时隔56年，父女终“相见”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新闻纪录片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16分51秒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徐焱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王柏林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刘露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罗欣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张倵瑃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刘成国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周神青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七一客户端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党建头条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微信视频号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2025年4月4日8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bookmarkStart w:id="0" w:name="OLE_LINK1"/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https://m.12371.gov.cn/app/template/displayTemplate/news/mvodShare/488210.html?isView=true</w:t>
            </w:r>
          </w:p>
          <w:bookmarkEnd w:id="0"/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55245</wp:posOffset>
                  </wp:positionV>
                  <wp:extent cx="1226820" cy="1226820"/>
                  <wp:effectExtent l="0" t="0" r="0" b="0"/>
                  <wp:wrapNone/>
                  <wp:docPr id="1333433370" name="图片 1" descr="C:\Users\CQDK\Desktop\qrCode.png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433370" name="图片 1" descr="C:\Users\CQDK\Desktop\qrCode.pngqrCod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 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黑体_GBK"/>
                <w:sz w:val="24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 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本片依托中共重庆市委当代党员杂志社联合西藏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自治区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昌都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洛隆县民政和退役军人事务局共同发起的“为49位重庆籍烈士寻亲”活动，以蒋必清烈士之女蒋华英跨越56年的寻亲之路为主线，真实记录了一段感人至深的寻亲历程。1969年，重庆潼南籍军人蒋必清告别孕妻赴西藏执行任务时壮烈牺牲，年仅20岁，与即将出生的女儿未曾谋面。56年来，女儿蒋华英从未放弃寻找父亲的下落。2024年11月，在渝藏两地相关部门及当代党员杂志社的共同努力下，蒋华英终于得知父亲安葬于洛隆烈士陵园。本片全程跟拍蒋华英得知消息后，同丈夫廖辉云于2025年清明节前夕，克服高反，首次赴藏祭扫的全过程。镜头真实记录了女儿女婿跪倒在父亲墓前泪流满面的感人场景——“爸爸，56年了，我终于找到您了”。全片情感真挚、结构严谨、制作精良，生动展现了渝藏两地落实拥军优属政策的扎实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本片于2025年清明节当天推出后，引发社会各界广泛关注和强烈共鸣，取得显著传播效果。一是舆论引导效果好。纪录片以真实细腻的镜头语言，深情讲述了蒋华英跨越56年寻找父亲的感人故事，生动再现了革命烈士的牺牲奉献与家属的殷切思念。作品发布后，迅速被人民日报客户端等多家媒体转载。广大网友深受感动，纷纷留言致敬英烈，在全社会营造了崇尚英雄、缅怀先烈的浓厚氛围。二是助力寻亲工作高效开展。本片作为“为49位重庆籍烈士寻亲”活动的重点作品，真实记录了寻亲过程中的关键环节与感人瞬间，进一步激发了社会各界参与寻亲的热情。三是矩阵传播影响广泛。本片除在七一客户端首发外，联合重庆市退役军人事务局等相关单位的官方新媒体平台同步推送，并在抖音、微信视频号等社交平台形成二次传播热潮。多平台联动传播，使英烈故事深入人心，进一步提升了全社会拥军优属的意识，取得良好的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741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</w:rPr>
              <w:fldChar w:fldCharType="begin"/>
            </w:r>
            <w:r>
              <w:rPr>
                <w:rFonts w:hint="eastAsia" w:ascii="Times New Roman" w:hAnsi="Times New Roman"/>
              </w:rPr>
              <w:instrText xml:space="preserve"> HYPERLINK "https://v.douyin.com/H2SpEjjz3SU/" </w:instrText>
            </w:r>
            <w:r>
              <w:rPr>
                <w:rFonts w:hint="eastAsia" w:ascii="Times New Roman" w:hAnsi="Times New Roman"/>
              </w:rPr>
              <w:fldChar w:fldCharType="separate"/>
            </w:r>
            <w:r>
              <w:rPr>
                <w:rFonts w:hint="eastAsia" w:ascii="Times New Roman" w:hAnsi="Times New Roman"/>
              </w:rPr>
              <w:t>https://v.douyin.com/H2SpEjjz3SU/</w:t>
            </w:r>
            <w:r>
              <w:rPr>
                <w:rFonts w:hint="eastAsia" w:ascii="Times New Roman" w:hAnsi="Times New Roman"/>
              </w:rPr>
              <w:fldChar w:fldCharType="end"/>
            </w:r>
            <w:r>
              <w:rPr>
                <w:rFonts w:hint="eastAsia" w:ascii="Times New Roman" w:hAnsi="Times New Roman"/>
              </w:rPr>
              <w:fldChar w:fldCharType="begin"/>
            </w:r>
            <w:r>
              <w:rPr>
                <w:rFonts w:hint="eastAsia" w:ascii="Times New Roman" w:hAnsi="Times New Roman"/>
              </w:rPr>
              <w:instrText xml:space="preserve"> HYPERLINK "https://weixin.qq.com/sph/AH3zx8qs1" </w:instrText>
            </w:r>
            <w:r>
              <w:rPr>
                <w:rFonts w:hint="eastAsia" w:ascii="Times New Roman" w:hAnsi="Times New Roman"/>
              </w:rPr>
              <w:fldChar w:fldCharType="separate"/>
            </w:r>
            <w:r>
              <w:rPr>
                <w:rFonts w:hint="eastAsia" w:ascii="Times New Roman" w:hAnsi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/>
              </w:rPr>
            </w:pPr>
          </w:p>
        </w:tc>
        <w:tc>
          <w:tcPr>
            <w:tcW w:w="2741" w:type="dxa"/>
            <w:gridSpan w:val="5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</w:rPr>
            </w:pPr>
            <w:r>
              <w:rPr>
                <w:rFonts w:hint="default" w:ascii="Times New Roman" w:hAnsi="Times New Roman"/>
                <w:color w:val="auto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https://www.kuaishou.com/f/X3puETTvfwnCSpX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11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50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100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500+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该片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依托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“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为49位重庆籍烈士寻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亲”活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动，以蒋华英跨越半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个多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世纪的寻亲之路为主线，真实记录了一段感人至深的寻亲历程。从推动工作成效看，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该片为整个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活动开展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起到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显著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的助推作用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，获退役军人系统和烈属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的高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度认可。从宣传报道效果看，作品弘扬了红色文化和拥军文化，被人民日报客户端等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多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家媒体转载，舆论引导效果良好。该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片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主题鲜明、影响深远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同意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推荐。</w:t>
            </w:r>
          </w:p>
          <w:p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>
            <w:pPr>
              <w:spacing w:after="0" w:line="2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                       </w:t>
            </w:r>
          </w:p>
          <w:p>
            <w:pPr>
              <w:spacing w:after="0" w:line="240" w:lineRule="exact"/>
              <w:ind w:firstLine="4080" w:firstLineChars="17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签名：             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王柏林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023-63856943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13677615454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0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两江新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区食品城大道35号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1099211080@qq.com</w:t>
            </w:r>
          </w:p>
        </w:tc>
      </w:tr>
    </w:tbl>
    <w:p>
      <w:pPr>
        <w:pStyle w:val="2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D"/>
    <w:rsid w:val="000361FE"/>
    <w:rsid w:val="001412C4"/>
    <w:rsid w:val="001C3CD0"/>
    <w:rsid w:val="00210B20"/>
    <w:rsid w:val="002114CD"/>
    <w:rsid w:val="002154BA"/>
    <w:rsid w:val="00227633"/>
    <w:rsid w:val="002504E7"/>
    <w:rsid w:val="0030068C"/>
    <w:rsid w:val="0030323B"/>
    <w:rsid w:val="00434A8B"/>
    <w:rsid w:val="00434F2F"/>
    <w:rsid w:val="00445390"/>
    <w:rsid w:val="004726DD"/>
    <w:rsid w:val="004945AA"/>
    <w:rsid w:val="004C458F"/>
    <w:rsid w:val="004C6F30"/>
    <w:rsid w:val="004E5391"/>
    <w:rsid w:val="00520F1D"/>
    <w:rsid w:val="00533391"/>
    <w:rsid w:val="00540DD5"/>
    <w:rsid w:val="005A7525"/>
    <w:rsid w:val="005B7C85"/>
    <w:rsid w:val="005F72F2"/>
    <w:rsid w:val="006733B2"/>
    <w:rsid w:val="007058E8"/>
    <w:rsid w:val="00707DCD"/>
    <w:rsid w:val="00711D3C"/>
    <w:rsid w:val="00732011"/>
    <w:rsid w:val="00747584"/>
    <w:rsid w:val="0078244B"/>
    <w:rsid w:val="007B731D"/>
    <w:rsid w:val="007E5B94"/>
    <w:rsid w:val="008949A2"/>
    <w:rsid w:val="008D6FCD"/>
    <w:rsid w:val="008F7B63"/>
    <w:rsid w:val="0096749D"/>
    <w:rsid w:val="009A4D63"/>
    <w:rsid w:val="009B351D"/>
    <w:rsid w:val="00A143C9"/>
    <w:rsid w:val="00A26C38"/>
    <w:rsid w:val="00A87311"/>
    <w:rsid w:val="00AB3AF9"/>
    <w:rsid w:val="00BD65EC"/>
    <w:rsid w:val="00CB0F92"/>
    <w:rsid w:val="00CB498A"/>
    <w:rsid w:val="00D57626"/>
    <w:rsid w:val="00E115D6"/>
    <w:rsid w:val="00E615DF"/>
    <w:rsid w:val="00E76F06"/>
    <w:rsid w:val="00ED3D8D"/>
    <w:rsid w:val="00F14B08"/>
    <w:rsid w:val="00F81C9C"/>
    <w:rsid w:val="00F941FC"/>
    <w:rsid w:val="00FE0791"/>
    <w:rsid w:val="09242895"/>
    <w:rsid w:val="0CCC399F"/>
    <w:rsid w:val="0F2C65FD"/>
    <w:rsid w:val="1C5562E0"/>
    <w:rsid w:val="1FDA362A"/>
    <w:rsid w:val="2DF03038"/>
    <w:rsid w:val="2FF0BF4C"/>
    <w:rsid w:val="3D7B3BC2"/>
    <w:rsid w:val="3E9A0872"/>
    <w:rsid w:val="41FF3DD4"/>
    <w:rsid w:val="442E606D"/>
    <w:rsid w:val="520509BC"/>
    <w:rsid w:val="560272F8"/>
    <w:rsid w:val="5D155BD6"/>
    <w:rsid w:val="5F4D334E"/>
    <w:rsid w:val="62CE111C"/>
    <w:rsid w:val="64E9276A"/>
    <w:rsid w:val="67D656B6"/>
    <w:rsid w:val="6ACED048"/>
    <w:rsid w:val="6CE90E78"/>
    <w:rsid w:val="742C2243"/>
    <w:rsid w:val="777FF27F"/>
    <w:rsid w:val="77F579B2"/>
    <w:rsid w:val="7BA60871"/>
    <w:rsid w:val="7E662F66"/>
    <w:rsid w:val="7EC413FD"/>
    <w:rsid w:val="7F626E81"/>
    <w:rsid w:val="7FF7F6EB"/>
    <w:rsid w:val="EFB6921C"/>
    <w:rsid w:val="EFFBB162"/>
    <w:rsid w:val="FFD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semiHidden/>
    <w:unhideWhenUsed/>
    <w:qFormat/>
    <w:uiPriority w:val="99"/>
    <w:pPr>
      <w:spacing w:after="120"/>
    </w:pPr>
  </w:style>
  <w:style w:type="paragraph" w:styleId="1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 字符"/>
    <w:basedOn w:val="18"/>
    <w:link w:val="2"/>
    <w:semiHidden/>
    <w:qFormat/>
    <w:uiPriority w:val="99"/>
    <w:rPr>
      <w:rFonts w:ascii="Calibri" w:hAnsi="Calibri" w:eastAsia="宋体" w:cs="黑体"/>
    </w:r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1">
    <w:name w:val="页脚 字符"/>
    <w:basedOn w:val="18"/>
    <w:link w:val="1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1414</Characters>
  <Lines>11</Lines>
  <Paragraphs>3</Paragraphs>
  <TotalTime>2</TotalTime>
  <ScaleCrop>false</ScaleCrop>
  <LinksUpToDate>false</LinksUpToDate>
  <CharactersWithSpaces>1465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2025-03-25T06:34:00Z</dcterms:created>
  <dc:creator>焱 徐</dc:creator>
  <cp:lastModifiedBy>王柏林</cp:lastModifiedBy>
  <cp:lastPrinted>2026-03-08T17:36:00Z</cp:lastPrinted>
  <dcterms:modified xsi:type="dcterms:W3CDTF">2026-03-10T08:04:35Z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425583C6742B4A7F9E9CCCA1D9F04C66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