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重庆新闻奖参评作品推荐表</w:t>
      </w:r>
    </w:p>
    <w:tbl>
      <w:tblPr>
        <w:tblStyle w:val="4"/>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pPr>
              <w:spacing w:after="0" w:line="260" w:lineRule="exact"/>
              <w:jc w:val="center"/>
              <w:rPr>
                <w:rFonts w:ascii="Times New Roman" w:hAnsi="Times New Roman" w:eastAsia="华文中宋"/>
                <w:sz w:val="28"/>
              </w:rPr>
            </w:pPr>
            <w:r>
              <w:rPr>
                <w:rFonts w:hint="eastAsia" w:ascii="Times New Roman" w:hAnsi="Times New Roman" w:eastAsia="方正仿宋_GBK" w:cs="方正仿宋_GBK"/>
                <w:sz w:val="24"/>
              </w:rPr>
              <w:t>民法典这五年｜①有情人终成眷属 让彩礼重归于“礼”</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pPr>
              <w:spacing w:after="0" w:line="260" w:lineRule="exact"/>
              <w:jc w:val="center"/>
              <w:rPr>
                <w:rFonts w:ascii="Times New Roman" w:hAnsi="Times New Roman"/>
                <w:sz w:val="24"/>
              </w:rPr>
            </w:pPr>
            <w:r>
              <w:rPr>
                <w:rFonts w:hint="eastAsia" w:ascii="Times New Roman" w:hAnsi="Times New Roman" w:eastAsia="方正仿宋_GBK" w:cs="方正仿宋_GBK"/>
                <w:sz w:val="24"/>
              </w:rPr>
              <w:t>创意传播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exact"/>
          <w:jc w:val="center"/>
        </w:trPr>
        <w:tc>
          <w:tcPr>
            <w:tcW w:w="1824"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pPr>
              <w:spacing w:after="0" w:line="300" w:lineRule="exact"/>
              <w:jc w:val="center"/>
              <w:rPr>
                <w:rFonts w:ascii="Times New Roman" w:hAnsi="Times New Roman" w:eastAsia="华文中宋"/>
                <w:sz w:val="28"/>
              </w:rPr>
            </w:pPr>
            <w:r>
              <w:rPr>
                <w:rFonts w:hint="eastAsia" w:ascii="Times New Roman" w:hAnsi="Times New Roman" w:eastAsia="方正仿宋_GBK" w:cs="仿宋"/>
                <w:sz w:val="24"/>
                <w:szCs w:val="24"/>
              </w:rPr>
              <w:t>2分40秒</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pPr>
              <w:spacing w:after="0" w:line="2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1824" w:type="dxa"/>
            <w:vMerge w:val="continue"/>
            <w:vAlign w:val="center"/>
          </w:tcPr>
          <w:p>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pPr>
              <w:spacing w:after="0" w:line="320" w:lineRule="exact"/>
              <w:jc w:val="center"/>
              <w:rPr>
                <w:rFonts w:ascii="Times New Roman" w:hAnsi="Times New Roman" w:eastAsia="方正仿宋_GBK" w:cs="仿宋"/>
                <w:sz w:val="24"/>
                <w:szCs w:val="18"/>
              </w:rPr>
            </w:pP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pPr>
              <w:spacing w:after="0" w:line="240" w:lineRule="atLeast"/>
              <w:jc w:val="center"/>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pPr>
              <w:spacing w:after="0" w:line="260" w:lineRule="exact"/>
              <w:jc w:val="center"/>
              <w:rPr>
                <w:rFonts w:ascii="Times New Roman" w:hAnsi="Times New Roman" w:eastAsia="方正仿宋_GBK"/>
                <w:sz w:val="28"/>
              </w:rPr>
            </w:pPr>
            <w:r>
              <w:rPr>
                <w:rFonts w:hint="eastAsia" w:ascii="Times New Roman" w:hAnsi="Times New Roman" w:eastAsia="方正仿宋_GBK" w:cs="仿宋"/>
                <w:sz w:val="24"/>
                <w:szCs w:val="18"/>
              </w:rPr>
              <w:t>李凰言、陈一豪</w:t>
            </w:r>
          </w:p>
        </w:tc>
        <w:tc>
          <w:tcPr>
            <w:tcW w:w="1129"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pPr>
              <w:spacing w:after="0" w:line="240" w:lineRule="exact"/>
              <w:jc w:val="center"/>
              <w:rPr>
                <w:rFonts w:ascii="Times New Roman" w:hAnsi="Times New Roman" w:eastAsia="方正仿宋_GBK"/>
                <w:w w:val="95"/>
                <w:szCs w:val="21"/>
              </w:rPr>
            </w:pPr>
            <w:r>
              <w:rPr>
                <w:rFonts w:hint="eastAsia" w:ascii="Times New Roman" w:hAnsi="Times New Roman" w:eastAsia="方正仿宋_GBK" w:cs="仿宋"/>
                <w:sz w:val="24"/>
                <w:szCs w:val="18"/>
              </w:rPr>
              <w:t>刘成国、徐焱、周神青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pPr>
              <w:spacing w:after="0" w:line="2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中共重庆市委</w:t>
            </w:r>
          </w:p>
          <w:p>
            <w:pPr>
              <w:spacing w:after="0" w:line="260" w:lineRule="exact"/>
              <w:jc w:val="center"/>
              <w:rPr>
                <w:rFonts w:ascii="Times New Roman" w:hAnsi="Times New Roman"/>
                <w:szCs w:val="21"/>
              </w:rPr>
            </w:pPr>
            <w:r>
              <w:rPr>
                <w:rFonts w:hint="eastAsia" w:ascii="Times New Roman" w:hAnsi="Times New Roman" w:eastAsia="方正仿宋_GBK" w:cs="方正仿宋_GBK"/>
                <w:sz w:val="24"/>
              </w:rPr>
              <w:t>当代党员杂志社</w:t>
            </w:r>
          </w:p>
        </w:tc>
        <w:tc>
          <w:tcPr>
            <w:tcW w:w="1129"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8"/>
              </w:rPr>
              <w:t>发布端/账号/媒体名称</w:t>
            </w:r>
          </w:p>
        </w:tc>
        <w:tc>
          <w:tcPr>
            <w:tcW w:w="4993" w:type="dxa"/>
            <w:gridSpan w:val="6"/>
            <w:vAlign w:val="center"/>
          </w:tcPr>
          <w:p>
            <w:pPr>
              <w:spacing w:after="0" w:line="260" w:lineRule="exact"/>
              <w:jc w:val="center"/>
              <w:rPr>
                <w:rFonts w:ascii="Times New Roman" w:hAnsi="Times New Roman"/>
                <w:sz w:val="18"/>
                <w:szCs w:val="18"/>
              </w:rPr>
            </w:pPr>
            <w:r>
              <w:rPr>
                <w:rFonts w:hint="eastAsia" w:ascii="Times New Roman" w:hAnsi="Times New Roman" w:eastAsia="方正仿宋_GBK" w:cs="方正仿宋_GBK"/>
                <w:sz w:val="24"/>
              </w:rPr>
              <w:t>七一客户端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pPr>
              <w:spacing w:after="0" w:line="260" w:lineRule="exact"/>
              <w:jc w:val="center"/>
              <w:rPr>
                <w:rFonts w:ascii="Times New Roman" w:hAnsi="Times New Roman"/>
                <w:szCs w:val="21"/>
              </w:rPr>
            </w:pPr>
          </w:p>
        </w:tc>
        <w:tc>
          <w:tcPr>
            <w:tcW w:w="1129"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993" w:type="dxa"/>
            <w:gridSpan w:val="6"/>
            <w:vAlign w:val="center"/>
          </w:tcPr>
          <w:p>
            <w:pPr>
              <w:spacing w:after="0" w:line="260" w:lineRule="exact"/>
              <w:jc w:val="center"/>
              <w:rPr>
                <w:rFonts w:ascii="Times New Roman" w:hAnsi="Times New Roman" w:eastAsia="方正仿宋_GBK" w:cs="Times New Roman"/>
                <w:szCs w:val="21"/>
              </w:rPr>
            </w:pPr>
            <w:r>
              <w:rPr>
                <w:rFonts w:hint="eastAsia" w:ascii="Times New Roman" w:hAnsi="Times New Roman" w:eastAsia="方正仿宋_GBK" w:cs="方正仿宋_GBK"/>
                <w:sz w:val="24"/>
                <w:szCs w:val="21"/>
              </w:rPr>
              <w:t>2025年5月28日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824" w:type="dxa"/>
            <w:vMerge w:val="restart"/>
            <w:vAlign w:val="center"/>
          </w:tcPr>
          <w:p>
            <w:pPr>
              <w:spacing w:after="0" w:line="340" w:lineRule="exact"/>
              <w:jc w:val="center"/>
              <w:rPr>
                <w:rFonts w:ascii="Times New Roman" w:hAnsi="Times New Roman" w:eastAsia="方正黑体_GBK" w:cs="方正黑体_GBK"/>
                <w:sz w:val="24"/>
                <w:szCs w:val="21"/>
              </w:rPr>
            </w:pPr>
            <w:r>
              <w:rPr>
                <w:rFonts w:hint="eastAsia" w:ascii="Times New Roman" w:hAnsi="Times New Roman" w:eastAsia="方正黑体_GBK" w:cs="方正黑体_GBK"/>
                <w:sz w:val="24"/>
                <w:szCs w:val="21"/>
              </w:rPr>
              <w:t>新媒体作品</w:t>
            </w:r>
          </w:p>
          <w:p>
            <w:pPr>
              <w:spacing w:after="0" w:line="340" w:lineRule="exact"/>
              <w:jc w:val="center"/>
              <w:rPr>
                <w:rFonts w:ascii="Times New Roman" w:hAnsi="Times New Roman"/>
                <w:szCs w:val="21"/>
              </w:rPr>
            </w:pPr>
            <w:r>
              <w:rPr>
                <w:rFonts w:hint="eastAsia" w:ascii="Times New Roman" w:hAnsi="Times New Roman" w:eastAsia="方正黑体_GBK" w:cs="方正黑体_GBK"/>
                <w:sz w:val="24"/>
                <w:szCs w:val="21"/>
              </w:rPr>
              <w:t>填报网址</w:t>
            </w:r>
          </w:p>
        </w:tc>
        <w:tc>
          <w:tcPr>
            <w:tcW w:w="3531" w:type="dxa"/>
            <w:gridSpan w:val="6"/>
            <w:vMerge w:val="restart"/>
            <w:vAlign w:val="center"/>
          </w:tcPr>
          <w:p>
            <w:pPr>
              <w:spacing w:after="0" w:line="260" w:lineRule="exact"/>
              <w:rPr>
                <w:rFonts w:hint="eastAsia" w:ascii="Times New Roman" w:hAnsi="Times New Roman" w:eastAsia="微软雅黑" w:cs="微软雅黑"/>
                <w:color w:val="000000"/>
                <w:szCs w:val="21"/>
                <w:shd w:val="clear" w:color="auto" w:fill="FFFFFF"/>
              </w:rPr>
            </w:pPr>
            <w:bookmarkStart w:id="0" w:name="_GoBack"/>
            <w:r>
              <w:rPr>
                <w:rFonts w:ascii="微软雅黑" w:hAnsi="微软雅黑" w:eastAsia="微软雅黑" w:cs="微软雅黑"/>
                <w:i w:val="0"/>
                <w:caps w:val="0"/>
                <w:color w:val="000000"/>
                <w:spacing w:val="0"/>
                <w:sz w:val="21"/>
                <w:szCs w:val="21"/>
                <w:shd w:val="clear" w:fill="FFFFFF"/>
              </w:rPr>
              <w:t>https://m.12371.gov.cn/app/template/displayTemplate/news/newsDetail/6506/491997.html?isView=true</w:t>
            </w:r>
          </w:p>
          <w:bookmarkEnd w:id="0"/>
          <w:p>
            <w:pPr>
              <w:spacing w:after="0" w:line="240" w:lineRule="auto"/>
              <w:jc w:val="center"/>
              <w:rPr>
                <w:rFonts w:hint="eastAsia" w:ascii="Times New Roman" w:hAnsi="Times New Roman" w:eastAsia="微软雅黑" w:cs="微软雅黑"/>
                <w:color w:val="000000"/>
                <w:szCs w:val="21"/>
                <w:shd w:val="clear" w:color="auto" w:fill="FFFFFF"/>
                <w:lang w:eastAsia="zh-CN"/>
              </w:rPr>
            </w:pPr>
            <w:r>
              <w:rPr>
                <w:rFonts w:hint="eastAsia" w:ascii="Times New Roman" w:hAnsi="Times New Roman" w:eastAsia="微软雅黑" w:cs="微软雅黑"/>
                <w:color w:val="000000"/>
                <w:szCs w:val="21"/>
                <w:shd w:val="clear" w:color="auto" w:fill="FFFFFF"/>
                <w:lang w:eastAsia="zh-CN"/>
              </w:rPr>
              <w:drawing>
                <wp:inline distT="0" distB="0" distL="114300" distR="114300">
                  <wp:extent cx="1332230" cy="1332230"/>
                  <wp:effectExtent l="0" t="0" r="1270" b="1270"/>
                  <wp:docPr id="1" name="图片 1" descr="彩礼重归于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礼重归于礼"/>
                          <pic:cNvPicPr>
                            <a:picLocks noChangeAspect="1"/>
                          </pic:cNvPicPr>
                        </pic:nvPicPr>
                        <pic:blipFill>
                          <a:blip r:embed="rId6"/>
                          <a:stretch>
                            <a:fillRect/>
                          </a:stretch>
                        </pic:blipFill>
                        <pic:spPr>
                          <a:xfrm>
                            <a:off x="0" y="0"/>
                            <a:ext cx="1332230" cy="1332230"/>
                          </a:xfrm>
                          <a:prstGeom prst="rect">
                            <a:avLst/>
                          </a:prstGeom>
                        </pic:spPr>
                      </pic:pic>
                    </a:graphicData>
                  </a:graphic>
                </wp:inline>
              </w:drawing>
            </w:r>
          </w:p>
        </w:tc>
        <w:tc>
          <w:tcPr>
            <w:tcW w:w="4993" w:type="dxa"/>
            <w:gridSpan w:val="6"/>
            <w:vAlign w:val="center"/>
          </w:tcPr>
          <w:p>
            <w:pPr>
              <w:spacing w:after="0" w:line="260" w:lineRule="exact"/>
              <w:rPr>
                <w:rFonts w:ascii="Times New Roman" w:hAnsi="Times New Roman" w:eastAsia="华文中宋"/>
                <w:sz w:val="28"/>
              </w:rPr>
            </w:pPr>
            <w:r>
              <w:rPr>
                <w:rFonts w:hint="eastAsia" w:ascii="Times New Roman"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rPr>
              <w:t>是□ 否</w:t>
            </w:r>
            <w:r>
              <w:rPr>
                <w:rFonts w:ascii="Segoe UI Symbol" w:hAnsi="Segoe UI Symbol" w:eastAsia="华文中宋" w:cs="Segoe UI Symbo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0"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pPr>
              <w:spacing w:after="0" w:line="260" w:lineRule="exact"/>
              <w:rPr>
                <w:rFonts w:ascii="Times New Roman" w:hAnsi="Times New Roman" w:eastAsia="方正仿宋_GBK" w:cs="仿宋"/>
                <w:sz w:val="24"/>
                <w:szCs w:val="18"/>
              </w:rPr>
            </w:pPr>
          </w:p>
        </w:tc>
        <w:tc>
          <w:tcPr>
            <w:tcW w:w="4993" w:type="dxa"/>
            <w:gridSpan w:val="6"/>
            <w:vAlign w:val="center"/>
          </w:tcPr>
          <w:p>
            <w:pPr>
              <w:spacing w:after="0" w:line="260" w:lineRule="exact"/>
              <w:rPr>
                <w:rFonts w:ascii="Times New Roman" w:hAnsi="Times New Roman" w:eastAsia="华文中宋"/>
                <w:sz w:val="28"/>
              </w:rPr>
            </w:pPr>
            <w:r>
              <w:rPr>
                <w:rFonts w:hint="eastAsia" w:ascii="Times New Roman"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rPr>
              <w:t>是□ 否</w:t>
            </w:r>
            <w:r>
              <w:rPr>
                <w:rFonts w:ascii="Segoe UI Symbol" w:hAnsi="Segoe UI Symbol" w:eastAsia="华文中宋" w:cs="Segoe UI Symbo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9" w:hRule="atLeas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pPr>
              <w:spacing w:after="0" w:line="34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民法典这五年》普法短视频是为迎接民法典颁布五周年打造的新闻创意作品，由中共重庆市委当代党员杂志社与西南政法大学民商法学院联合制作。作品以习近平法治思想为指引，聚焦物权、合同、人格权、婚姻家庭、继承、侵权责任等领域，选取贴近民生的主题，以“小切口”解析“大法典”。</w:t>
            </w:r>
          </w:p>
          <w:p>
            <w:pPr>
              <w:spacing w:after="0" w:line="34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作品采用“剧情短片+专家解读”结构，用约15秒的情节演绎快速带领观众进入法律情境，随后由法官、律师、法学教授等专业人士解读，实现“情理法”的融合。通过“媒体+高校”“剧情+解读”“线上+线下”的协同机制，该作品有效降低了</w:t>
            </w:r>
            <w:r>
              <w:rPr>
                <w:rFonts w:hint="eastAsia" w:ascii="Times New Roman" w:hAnsi="Times New Roman" w:eastAsia="方正仿宋_GBK"/>
                <w:sz w:val="24"/>
                <w:szCs w:val="28"/>
                <w:lang w:eastAsia="zh-CN"/>
              </w:rPr>
              <w:t>受众</w:t>
            </w:r>
            <w:r>
              <w:rPr>
                <w:rFonts w:hint="eastAsia" w:ascii="Times New Roman" w:hAnsi="Times New Roman" w:eastAsia="方正仿宋_GBK"/>
                <w:sz w:val="24"/>
                <w:szCs w:val="28"/>
              </w:rPr>
              <w:t>理解门槛，实现了普法宣传从“灌输式”到“启发式”的转变，既展现了民法典作为“社会生活百科全书”的实施成效，又通过新媒体平台实现法治宣传的有效触达，成为提升全民法治素养的创新实践。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4" w:hRule="exac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pPr>
              <w:spacing w:after="0" w:line="34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《民法典这五年》系列短视频在七一客户端等平台上线后，迅速引发了社会各界的广泛关注和热烈反响，获评“2025年度重庆市网络法治宣传十佳创新案例”。</w:t>
            </w:r>
          </w:p>
          <w:p>
            <w:pPr>
              <w:spacing w:after="0" w:line="34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rPr>
              <w:t>作品受到社区工作者、法律实务界人士</w:t>
            </w:r>
            <w:r>
              <w:rPr>
                <w:rFonts w:hint="eastAsia" w:ascii="Times New Roman" w:hAnsi="Times New Roman" w:eastAsia="方正仿宋_GBK"/>
                <w:sz w:val="24"/>
                <w:szCs w:val="28"/>
                <w:lang w:eastAsia="zh-CN"/>
              </w:rPr>
              <w:t>等</w:t>
            </w:r>
            <w:r>
              <w:rPr>
                <w:rFonts w:hint="eastAsia" w:ascii="Times New Roman" w:hAnsi="Times New Roman" w:eastAsia="方正仿宋_GBK"/>
                <w:sz w:val="24"/>
                <w:szCs w:val="28"/>
              </w:rPr>
              <w:t>干部</w:t>
            </w:r>
            <w:r>
              <w:rPr>
                <w:rFonts w:hint="eastAsia" w:ascii="Times New Roman" w:hAnsi="Times New Roman" w:eastAsia="方正仿宋_GBK"/>
                <w:sz w:val="24"/>
                <w:szCs w:val="28"/>
                <w:lang w:eastAsia="zh-CN"/>
              </w:rPr>
              <w:t>群众</w:t>
            </w:r>
            <w:r>
              <w:rPr>
                <w:rFonts w:hint="eastAsia" w:ascii="Times New Roman" w:hAnsi="Times New Roman" w:eastAsia="方正仿宋_GBK"/>
                <w:sz w:val="24"/>
                <w:szCs w:val="28"/>
              </w:rPr>
              <w:t>的普遍好评。基层群众评价“以前觉得民法典很远，看了视频才知道它就在我们身边”；法律工作者评价该作品“形式新颖，解读专业，是普法宣传的一次成功探索”；党员干部认为“这个视频体现了党建与业务的深度融合，是提升社会治理法治化水平的生动实践”。</w:t>
            </w:r>
          </w:p>
          <w:p>
            <w:pPr>
              <w:spacing w:after="0" w:line="340" w:lineRule="exact"/>
              <w:ind w:firstLine="480" w:firstLineChars="200"/>
              <w:rPr>
                <w:rFonts w:hint="eastAsia" w:ascii="Times New Roman" w:hAnsi="Times New Roman" w:eastAsia="方正仿宋_GBK"/>
                <w:sz w:val="24"/>
                <w:szCs w:val="28"/>
              </w:rPr>
            </w:pPr>
            <w:r>
              <w:rPr>
                <w:rFonts w:hint="eastAsia" w:ascii="Times New Roman" w:hAnsi="Times New Roman" w:eastAsia="方正仿宋_GBK"/>
                <w:sz w:val="24"/>
                <w:szCs w:val="28"/>
              </w:rPr>
              <w:t>作品的社会效益同样显著。后续系列视频有效提升了公众对民法典的认知度和运用能力，部分案例甚至在基层调解和普法教育中被直接引用，增强了全民法治观念，为法治社会建设营造了良好氛围，</w:t>
            </w:r>
            <w:r>
              <w:rPr>
                <w:rFonts w:hint="eastAsia" w:ascii="Times New Roman" w:hAnsi="Times New Roman" w:eastAsia="方正仿宋_GBK"/>
                <w:sz w:val="24"/>
                <w:szCs w:val="28"/>
                <w:lang w:eastAsia="zh-CN"/>
              </w:rPr>
              <w:t>为</w:t>
            </w:r>
            <w:r>
              <w:rPr>
                <w:rFonts w:hint="eastAsia" w:ascii="Times New Roman" w:hAnsi="Times New Roman" w:eastAsia="方正仿宋_GBK"/>
                <w:sz w:val="24"/>
                <w:szCs w:val="28"/>
              </w:rPr>
              <w:t>今后同类普法产品的创作提供了宝贵经验和可复制的模板。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Align w:val="center"/>
          </w:tcPr>
          <w:p>
            <w:pPr>
              <w:spacing w:after="0" w:line="420" w:lineRule="exact"/>
              <w:rPr>
                <w:rFonts w:ascii="Times New Roman" w:hAnsi="Times New Roman" w:eastAsia="方正楷体_GBK"/>
                <w:sz w:val="24"/>
                <w:szCs w:val="28"/>
              </w:rPr>
            </w:pPr>
            <w:r>
              <w:rPr>
                <w:rFonts w:hint="eastAsia" w:ascii="Times New Roman" w:hAnsi="Times New Roman" w:eastAsia="方正楷体_GBK"/>
                <w:sz w:val="24"/>
                <w:szCs w:val="28"/>
              </w:rPr>
              <w:t>新媒体传播平台网址</w:t>
            </w:r>
          </w:p>
        </w:tc>
        <w:tc>
          <w:tcPr>
            <w:tcW w:w="5956" w:type="dxa"/>
            <w:gridSpan w:val="7"/>
            <w:tcBorders>
              <w:bottom w:val="single" w:color="auto" w:sz="4" w:space="0"/>
            </w:tcBorders>
            <w:vAlign w:val="center"/>
          </w:tcPr>
          <w:p>
            <w:pPr>
              <w:spacing w:after="0" w:line="320" w:lineRule="exact"/>
              <w:rPr>
                <w:rFonts w:ascii="Times New Roman" w:hAnsi="Times New Roman" w:eastAsia="方正仿宋_GBK"/>
                <w:sz w:val="22"/>
              </w:rPr>
            </w:pPr>
            <w:r>
              <w:rPr>
                <w:rFonts w:ascii="Times New Roman" w:hAnsi="Times New Roman" w:eastAsia="微软雅黑" w:cs="微软雅黑"/>
                <w:color w:val="333333"/>
                <w:szCs w:val="21"/>
                <w:shd w:val="clear" w:color="auto" w:fill="FFFFFF"/>
              </w:rPr>
              <w:t>https://m.12371.gov.cn/app/template/displayTemplate/news/newsDetail/6506/491997.html?isView=true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pPr>
              <w:spacing w:after="0" w:line="360" w:lineRule="exact"/>
              <w:jc w:val="center"/>
              <w:rPr>
                <w:rFonts w:ascii="Times New Roman" w:hAnsi="Times New Roman" w:eastAsia="方正楷体_GBK"/>
                <w:sz w:val="24"/>
                <w:szCs w:val="28"/>
              </w:rPr>
            </w:pPr>
            <w:r>
              <w:rPr>
                <w:rFonts w:hint="eastAsia" w:ascii="Times New Roman"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234363</w:t>
            </w:r>
          </w:p>
        </w:tc>
        <w:tc>
          <w:tcPr>
            <w:tcW w:w="1285" w:type="dxa"/>
            <w:gridSpan w:val="2"/>
            <w:tcBorders>
              <w:bottom w:val="single" w:color="auto" w:sz="4" w:space="0"/>
            </w:tcBorders>
            <w:vAlign w:val="center"/>
          </w:tcPr>
          <w:p>
            <w:pPr>
              <w:spacing w:after="0" w:line="360" w:lineRule="exact"/>
              <w:jc w:val="center"/>
              <w:rPr>
                <w:rFonts w:ascii="Times New Roman" w:hAnsi="Times New Roman" w:eastAsia="方正楷体_GBK"/>
                <w:sz w:val="24"/>
                <w:szCs w:val="28"/>
              </w:rPr>
            </w:pPr>
            <w:r>
              <w:rPr>
                <w:rFonts w:hint="eastAsia" w:ascii="Times New Roman" w:hAnsi="Times New Roman" w:eastAsia="方正楷体_GBK"/>
                <w:sz w:val="24"/>
                <w:szCs w:val="28"/>
              </w:rPr>
              <w:t>转载量</w:t>
            </w:r>
          </w:p>
        </w:tc>
        <w:tc>
          <w:tcPr>
            <w:tcW w:w="1284" w:type="dxa"/>
            <w:tcBorders>
              <w:bottom w:val="single" w:color="auto" w:sz="4" w:space="0"/>
            </w:tcBorders>
            <w:vAlign w:val="center"/>
          </w:tcPr>
          <w:p>
            <w:pPr>
              <w:spacing w:after="0" w:line="360" w:lineRule="exact"/>
              <w:jc w:val="center"/>
              <w:rPr>
                <w:rFonts w:hint="default" w:ascii="Times New Roman" w:hAnsi="Times New Roman" w:eastAsia="方正楷体_GBK"/>
                <w:sz w:val="24"/>
                <w:szCs w:val="28"/>
                <w:lang w:val="en-US" w:eastAsia="zh-CN"/>
              </w:rPr>
            </w:pPr>
            <w:r>
              <w:rPr>
                <w:rFonts w:hint="eastAsia" w:ascii="Times New Roman" w:hAnsi="Times New Roman" w:eastAsia="方正楷体_GBK"/>
                <w:sz w:val="24"/>
                <w:szCs w:val="28"/>
                <w:lang w:val="en-US" w:eastAsia="zh-CN"/>
              </w:rPr>
              <w:t>3332</w:t>
            </w:r>
          </w:p>
        </w:tc>
        <w:tc>
          <w:tcPr>
            <w:tcW w:w="1285" w:type="dxa"/>
            <w:gridSpan w:val="3"/>
            <w:tcBorders>
              <w:bottom w:val="single" w:color="auto" w:sz="4" w:space="0"/>
            </w:tcBorders>
            <w:vAlign w:val="center"/>
          </w:tcPr>
          <w:p>
            <w:pPr>
              <w:spacing w:after="0" w:line="360" w:lineRule="exact"/>
              <w:jc w:val="center"/>
              <w:rPr>
                <w:rFonts w:ascii="Times New Roman" w:hAnsi="Times New Roman" w:eastAsia="方正楷体_GBK"/>
                <w:sz w:val="24"/>
                <w:szCs w:val="28"/>
              </w:rPr>
            </w:pPr>
            <w:r>
              <w:rPr>
                <w:rFonts w:hint="eastAsia" w:ascii="Times New Roman" w:hAnsi="Times New Roman" w:eastAsia="方正楷体_GBK"/>
                <w:sz w:val="24"/>
                <w:szCs w:val="28"/>
              </w:rPr>
              <w:t>互动量</w:t>
            </w:r>
          </w:p>
        </w:tc>
        <w:tc>
          <w:tcPr>
            <w:tcW w:w="2102" w:type="dxa"/>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pPr>
              <w:spacing w:after="0" w:line="420" w:lineRule="exact"/>
              <w:ind w:firstLine="480" w:firstLineChars="200"/>
              <w:rPr>
                <w:rFonts w:ascii="Times New Roman" w:hAnsi="Times New Roman" w:eastAsia="华文中宋"/>
                <w:spacing w:val="-2"/>
                <w:sz w:val="24"/>
                <w:szCs w:val="28"/>
              </w:rPr>
            </w:pPr>
            <w:r>
              <w:rPr>
                <w:rFonts w:hint="eastAsia" w:ascii="Times New Roman" w:hAnsi="Times New Roman" w:eastAsia="方正仿宋_GBK"/>
                <w:sz w:val="24"/>
                <w:szCs w:val="28"/>
              </w:rPr>
              <w:t>该作品不仅是民法典普法宣传的示范性成果，更是新时代法治文化建设与媒体融合发展的成功探索，为持续推动法治中国建设提供了可复制的宣传范式，具有重要的推广价值和实践意义。同意推荐。</w:t>
            </w:r>
          </w:p>
          <w:p>
            <w:pPr>
              <w:spacing w:after="0" w:line="260" w:lineRule="exact"/>
              <w:jc w:val="righ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 </w:t>
            </w:r>
            <w:r>
              <w:rPr>
                <w:rFonts w:hint="eastAsia" w:ascii="Times New Roman" w:hAnsi="Times New Roman" w:eastAsia="方正仿宋_GBK"/>
                <w:sz w:val="24"/>
                <w:szCs w:val="28"/>
                <w:lang w:val="en-US" w:eastAsia="zh-CN"/>
              </w:rPr>
              <w:t xml:space="preserve">  </w:t>
            </w:r>
            <w:r>
              <w:rPr>
                <w:rFonts w:hint="eastAsia" w:ascii="Times New Roman" w:hAnsi="Times New Roman" w:eastAsia="方正仿宋_GBK"/>
                <w:sz w:val="24"/>
                <w:szCs w:val="28"/>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rPr>
              <w:t>6</w:t>
            </w:r>
            <w:r>
              <w:rPr>
                <w:rFonts w:ascii="Times New Roman" w:hAnsi="Times New Roman" w:eastAsia="方正仿宋_GBK" w:cs="Times New Roman"/>
                <w:sz w:val="24"/>
                <w:szCs w:val="28"/>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方正仿宋_GBK"/>
                <w:sz w:val="24"/>
              </w:rPr>
              <w:t>李凰言</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4"/>
              </w:rPr>
              <w:t>023-63856943</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4"/>
              </w:rPr>
              <w:t>13638340023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方正仿宋_GBK"/>
                <w:sz w:val="24"/>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4"/>
              </w:rPr>
              <w:t>2479847998@qq.com</w:t>
            </w:r>
          </w:p>
        </w:tc>
      </w:tr>
    </w:tbl>
    <w:p>
      <w:pPr>
        <w:spacing w:after="0"/>
        <w:rPr>
          <w:rFonts w:ascii="Times New Roman" w:hAnsi="Times New Roman"/>
        </w:rPr>
      </w:pPr>
    </w:p>
    <w:sectPr>
      <w:headerReference r:id="rId3" w:type="default"/>
      <w:footerReference r:id="rId4"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方正楷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17518"/>
    <w:rsid w:val="011F211F"/>
    <w:rsid w:val="3CFFAE9D"/>
    <w:rsid w:val="456A0D1E"/>
    <w:rsid w:val="57B17518"/>
    <w:rsid w:val="599E6BE3"/>
    <w:rsid w:val="628F2210"/>
    <w:rsid w:val="7CDB00A3"/>
    <w:rsid w:val="9EBD8B86"/>
    <w:rsid w:val="9FFDF57F"/>
    <w:rsid w:val="FABBBC0D"/>
    <w:rsid w:val="FFF9E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2026-04-14T19:06:00Z</dcterms:created>
  <dc:creator>李</dc:creator>
  <cp:lastModifiedBy>cqdk10</cp:lastModifiedBy>
  <cp:lastPrinted>2026-04-14T19:09:00Z</cp:lastPrinted>
  <dcterms:modified xsi:type="dcterms:W3CDTF">2026-04-14T14:23:22Z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67525A883A4F67A56A69DC69D50688DE</vt:lpwstr>
  </property>
</Properties>
</file>