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6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bookmarkStart w:id="0" w:name="_GoBack"/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充电补给 怎能成为一“桩”摆设？</w:t>
            </w:r>
            <w:bookmarkEnd w:id="0"/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深度报道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3620字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陈骅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default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张倵瑃 颜明华 陈国栋 赵廷虎</w:t>
            </w:r>
            <w:r>
              <w:rPr>
                <w:rFonts w:hint="eastAsia" w:ascii="Times New Roman" w:hAnsi="Times New Roman" w:eastAsia="方正仿宋_GBK"/>
                <w:w w:val="95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 w:cs="仿宋"/>
                <w:sz w:val="24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中共重庆市委</w:t>
            </w:r>
          </w:p>
          <w:p>
            <w:pPr>
              <w:spacing w:after="0"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当代党员杂志社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《当代党员》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2025年第12期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是□ 否</w:t>
            </w:r>
            <w:r>
              <w:rPr>
                <w:rFonts w:hint="eastAsia" w:ascii="Times New Roman" w:hAnsi="Times New Roman" w:eastAsia="华文中宋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新能源汽车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愈来愈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走进千家万户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给汽车充电已成为百姓的生活日常。然而，在一些地方，部分充电桩却成为摆设，让群众感到困惑。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2025年初，杂志社“民呼我为”热线陆续接到多起类似投诉、反映、建议。2025年全国两会上，重庆提出加快建设世界级智能网联新能源汽车产业集群，作为基础配套的充电桩建设成为关注焦点。得建好、建得好是先决，得好用、用得好才是根本。在持续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深入调查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的基础上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记者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抽丝剥茧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采访用户、请教专家、追问管理，将相关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问题原因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意见建议，通过杂志社搭建的民呼我为“接诉处回”闭环机制同步至相关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主管部门。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报道刊发后，报道中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所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涉地点，如思贤公园停车场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相关运营管理单位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重庆科学城城市运营集团有限公司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迅即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前往现场整改，相关工作人员亦回应称会加大充电设施的维护与巡查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有关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具体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问题被迅速解决。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衍生出来的充电桩持续建设和治理更是引起多部门重视。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报道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不仅体现了媒体人深入基层的扎实作风，更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展现了党刊人的强烈责任担当。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报道助力“超充之城”建设相关配套的加速迭代，更成为中共重庆市委当代党员杂志社以“新闻报道+民生服务+资政建言”助力打造“具有全球影响力的智能网联新能源汽车之都”的代表性探索。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8"/>
                <w:lang w:val="en-US" w:eastAsia="zh-CN"/>
              </w:rPr>
              <w:t>作品在七一客户端、七一网、《当代党员》杂志发表后，报道中披露的问题引发行业整治，提出的可行性意见更引起行业共鸣。报道刊发当日，市经济信息委高度重视，责令重庆全域查改，并协同市发展改革委等部门开展联合调查。此后，多个市级部门又联合高校、智库以该报道为参照开展调研、上报资政建议，推进了充电设施管理相关标准、制度的出台进程。2025年7月，迭代后的《重庆市超充基础设施建设技术指南（2025年）》正式发布。报道成为推动建成与用好“超充之城”、助力重庆升级打造“具有全球影响力的智能网联新能源汽车之都”的重要助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1.https://m.12371.gov.cn/app/template/displayTemplate/news/newsDetail/6204/493949.html?isShare=true&amp;xyt=1775989399008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Times New Roman" w:hAnsi="Times New Roman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2.https://www.12371.gov.cn/web/article/1438698839979872256/web/content_1438698839979872256.html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10w+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楷体_GBK"/>
                <w:sz w:val="24"/>
                <w:szCs w:val="28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9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监督报道的本意并非仅仅抛出问题，而是以提供解决问题的契机为出发点和落脚点。该报道以职业态度和党刊担当抛出了解法，更难能可贵的是报道中显著呈现了资政功效。报道所推动的法规出台，衍生资政带来的“超充之城”建设提速，为重庆迭代打造“具有全球影响力的智能网联新能源汽车之都”贡献了党刊思考、媒体力量。同意推荐。</w:t>
            </w:r>
          </w:p>
          <w:p>
            <w:pPr>
              <w:pStyle w:val="2"/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陈骅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13668027389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13668027389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79332022@qq.com</w:t>
            </w:r>
          </w:p>
        </w:tc>
      </w:tr>
    </w:tbl>
    <w:p>
      <w:pPr>
        <w:spacing w:after="0" w:line="240" w:lineRule="auto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5D3C"/>
    <w:rsid w:val="030D6D91"/>
    <w:rsid w:val="05202B04"/>
    <w:rsid w:val="0E8F2773"/>
    <w:rsid w:val="14333759"/>
    <w:rsid w:val="1F655D3C"/>
    <w:rsid w:val="2B9E5305"/>
    <w:rsid w:val="45B57D13"/>
    <w:rsid w:val="50FCB3A2"/>
    <w:rsid w:val="54417C4B"/>
    <w:rsid w:val="567605B9"/>
    <w:rsid w:val="5A1D25BF"/>
    <w:rsid w:val="5B3F2C9F"/>
    <w:rsid w:val="5F7D1DD7"/>
    <w:rsid w:val="677FA861"/>
    <w:rsid w:val="6B9678B6"/>
    <w:rsid w:val="733035DE"/>
    <w:rsid w:val="77880C5D"/>
    <w:rsid w:val="7BCB7259"/>
    <w:rsid w:val="7BDD2698"/>
    <w:rsid w:val="7D497E9A"/>
    <w:rsid w:val="A77F7DE0"/>
    <w:rsid w:val="BDCFEA27"/>
    <w:rsid w:val="F9FDDBCB"/>
    <w:rsid w:val="FFF4B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1412</Characters>
  <Lines>0</Lines>
  <Paragraphs>0</Paragraphs>
  <TotalTime>0</TotalTime>
  <ScaleCrop>false</ScaleCrop>
  <LinksUpToDate>false</LinksUpToDate>
  <CharactersWithSpaces>1462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2026-03-08T07:30:00Z</dcterms:created>
  <dc:creator>Ci</dc:creator>
  <cp:lastModifiedBy>cqdk10</cp:lastModifiedBy>
  <dcterms:modified xsi:type="dcterms:W3CDTF">2026-04-14T10:59:27Z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689F523AC5F14462B01F7F0DB11283EF</vt:lpwstr>
  </property>
  <property fmtid="{D5CDD505-2E9C-101B-9397-08002B2CF9AE}" pid="4" name="KSOTemplateDocerSaveRecord">
    <vt:lpwstr>eyJoZGlkIjoiNTgyMzMxZDFiYzEwMmMwNjc1N2Y1ODlkYzhlZDU3ODQiLCJ1c2VySWQiOiIyNzkyMDQ4ODEifQ==</vt:lpwstr>
  </property>
</Properties>
</file>